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r>
        <w:rPr>
          <w:rFonts w:hint="eastAsia" w:eastAsia="黑体"/>
          <w:b/>
          <w:sz w:val="52"/>
          <w:szCs w:val="52"/>
        </w:rPr>
        <w:t>湖南化工职业技术学院</w:t>
      </w:r>
    </w:p>
    <w:p>
      <w:pPr>
        <w:jc w:val="center"/>
        <w:rPr>
          <w:rFonts w:eastAsia="黑体"/>
          <w:sz w:val="36"/>
        </w:rPr>
      </w:pPr>
      <w:r>
        <w:rPr>
          <w:rFonts w:hint="eastAsia" w:eastAsia="黑体"/>
          <w:b/>
          <w:sz w:val="52"/>
          <w:szCs w:val="52"/>
        </w:rPr>
        <w:t>2024年度教学及教辅资料印刷</w:t>
      </w:r>
    </w:p>
    <w:p/>
    <w:p/>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Pr>
        <w:jc w:val="center"/>
        <w:rPr>
          <w:sz w:val="32"/>
        </w:rPr>
      </w:pPr>
      <w:r>
        <w:rPr>
          <w:rFonts w:hint="eastAsia"/>
          <w:sz w:val="32"/>
        </w:rPr>
        <w:t>202</w:t>
      </w:r>
      <w:r>
        <w:rPr>
          <w:sz w:val="32"/>
        </w:rPr>
        <w:t>4</w:t>
      </w:r>
      <w:r>
        <w:rPr>
          <w:rFonts w:hint="eastAsia"/>
          <w:sz w:val="32"/>
        </w:rPr>
        <w:t>年</w:t>
      </w:r>
      <w:r>
        <w:rPr>
          <w:sz w:val="32"/>
        </w:rPr>
        <w:t>1</w:t>
      </w:r>
      <w:r>
        <w:rPr>
          <w:rFonts w:hint="eastAsia"/>
          <w:sz w:val="32"/>
        </w:rPr>
        <w:t>月</w:t>
      </w:r>
    </w:p>
    <w:p/>
    <w:p>
      <w:pPr>
        <w:widowControl/>
        <w:spacing w:before="124" w:beforeLines="40" w:after="124" w:afterLines="40" w:line="375" w:lineRule="atLeast"/>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before="124" w:beforeLines="40" w:after="124" w:afterLines="40" w:line="375" w:lineRule="atLeast"/>
        <w:jc w:val="center"/>
        <w:rPr>
          <w:rFonts w:ascii="宋体" w:hAnsi="宋体" w:cs="宋体"/>
          <w:b/>
          <w:color w:val="FF0000"/>
          <w:kern w:val="0"/>
          <w:sz w:val="36"/>
          <w:szCs w:val="36"/>
        </w:rPr>
      </w:pPr>
      <w:r>
        <w:rPr>
          <w:rFonts w:hint="eastAsia" w:ascii="宋体" w:hAnsi="宋体" w:cs="宋体"/>
          <w:b/>
          <w:color w:val="FF0000"/>
          <w:kern w:val="0"/>
          <w:sz w:val="36"/>
          <w:szCs w:val="36"/>
        </w:rPr>
        <w:t>2024年度教学及教辅资料印刷</w:t>
      </w:r>
    </w:p>
    <w:p>
      <w:pPr>
        <w:widowControl/>
        <w:spacing w:before="124" w:beforeLines="40" w:after="124" w:afterLines="40" w:line="375" w:lineRule="atLeast"/>
        <w:jc w:val="center"/>
        <w:rPr>
          <w:rFonts w:ascii="宋体" w:hAnsi="宋体" w:cs="宋体"/>
          <w:b/>
          <w:color w:val="FF0000"/>
          <w:kern w:val="0"/>
          <w:sz w:val="36"/>
          <w:szCs w:val="36"/>
        </w:rPr>
      </w:pPr>
      <w:r>
        <w:rPr>
          <w:rFonts w:hint="eastAsia" w:ascii="宋体" w:hAnsi="宋体" w:cs="宋体"/>
          <w:b/>
          <w:color w:val="FF0000"/>
          <w:kern w:val="0"/>
          <w:sz w:val="36"/>
          <w:szCs w:val="36"/>
        </w:rPr>
        <w:t>采购比选公告</w:t>
      </w:r>
    </w:p>
    <w:p>
      <w:pPr>
        <w:widowControl/>
        <w:spacing w:before="124" w:beforeLines="40" w:after="124" w:afterLines="40"/>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2024年度教学及教辅资料印刷服务采购项目</w:t>
      </w:r>
      <w:r>
        <w:rPr>
          <w:rFonts w:ascii="宋体" w:hAnsi="宋体" w:cs="宋体"/>
          <w:color w:val="000000"/>
          <w:kern w:val="0"/>
          <w:sz w:val="24"/>
        </w:rPr>
        <w:t>进行招标，现将招投标工作事宜公告如下：</w:t>
      </w:r>
    </w:p>
    <w:p>
      <w:pPr>
        <w:widowControl/>
        <w:numPr>
          <w:ilvl w:val="0"/>
          <w:numId w:val="1"/>
        </w:numPr>
        <w:spacing w:before="124" w:beforeLines="40" w:after="124" w:afterLines="40"/>
        <w:rPr>
          <w:rFonts w:ascii="宋体" w:hAnsi="宋体" w:cs="宋体"/>
          <w:color w:val="000000"/>
          <w:kern w:val="0"/>
          <w:sz w:val="24"/>
        </w:rPr>
      </w:pPr>
      <w:r>
        <w:rPr>
          <w:rFonts w:ascii="宋体" w:hAnsi="宋体" w:cs="宋体"/>
          <w:b/>
          <w:bCs/>
          <w:color w:val="000000"/>
          <w:kern w:val="0"/>
          <w:sz w:val="24"/>
        </w:rPr>
        <w:t xml:space="preserve"> </w:t>
      </w:r>
      <w:r>
        <w:rPr>
          <w:rFonts w:hint="eastAsia" w:ascii="宋体" w:hAnsi="宋体" w:cs="宋体"/>
          <w:b/>
          <w:bCs/>
          <w:color w:val="000000"/>
          <w:kern w:val="0"/>
          <w:sz w:val="24"/>
        </w:rPr>
        <w:t xml:space="preserve"> 采购项目基本概况</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项目名称：湖南</w:t>
      </w:r>
      <w:r>
        <w:rPr>
          <w:rFonts w:hint="eastAsia" w:ascii="宋体" w:hAnsi="宋体" w:cs="宋体"/>
          <w:color w:val="000000"/>
          <w:kern w:val="0"/>
          <w:sz w:val="24"/>
        </w:rPr>
        <w:t>化工职业技术学院2024年度教学及教辅资料印刷服务采购项目</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ind w:firstLine="480" w:firstLineChars="200"/>
        <w:rPr>
          <w:rFonts w:hint="eastAsia" w:ascii="宋体" w:hAnsi="宋体" w:cs="宋体"/>
          <w:color w:val="000000"/>
          <w:kern w:val="0"/>
          <w:sz w:val="24"/>
        </w:rPr>
      </w:pPr>
      <w:bookmarkStart w:id="0" w:name="_Hlk144221827"/>
      <w:r>
        <w:rPr>
          <w:rFonts w:hint="eastAsia" w:ascii="宋体" w:hAnsi="宋体" w:cs="宋体"/>
          <w:color w:val="000000"/>
          <w:kern w:val="0"/>
          <w:sz w:val="24"/>
        </w:rPr>
        <w:t>3、年采购量约30万元（以实际采购为准）。</w:t>
      </w:r>
      <w:bookmarkEnd w:id="0"/>
    </w:p>
    <w:p>
      <w:pPr>
        <w:pStyle w:val="73"/>
        <w:widowControl/>
        <w:numPr>
          <w:ilvl w:val="1"/>
          <w:numId w:val="2"/>
        </w:numPr>
        <w:spacing w:before="124" w:beforeLines="40" w:after="124" w:afterLines="40"/>
        <w:ind w:firstLineChars="0"/>
        <w:rPr>
          <w:rFonts w:ascii="宋体" w:hAnsi="宋体" w:cs="宋体"/>
          <w:color w:val="000000"/>
          <w:kern w:val="0"/>
          <w:sz w:val="24"/>
        </w:rPr>
      </w:pPr>
      <w:r>
        <w:rPr>
          <w:rFonts w:hint="eastAsia" w:ascii="宋体" w:hAnsi="宋体" w:cs="宋体"/>
          <w:b/>
          <w:bCs/>
          <w:color w:val="000000"/>
          <w:kern w:val="0"/>
          <w:sz w:val="24"/>
        </w:rPr>
        <w:t>资格条件</w:t>
      </w:r>
    </w:p>
    <w:p>
      <w:pPr>
        <w:pStyle w:val="73"/>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73"/>
        <w:widowControl/>
        <w:numPr>
          <w:ilvl w:val="0"/>
          <w:numId w:val="3"/>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73"/>
        <w:widowControl/>
        <w:numPr>
          <w:ilvl w:val="0"/>
          <w:numId w:val="3"/>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73"/>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73"/>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73"/>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sz w:val="24"/>
        </w:rPr>
        <w:t>6、</w:t>
      </w:r>
      <w:r>
        <w:rPr>
          <w:rFonts w:hint="eastAsia" w:ascii="宋体" w:hAnsi="宋体" w:cs="宋体"/>
          <w:b/>
          <w:bCs/>
          <w:color w:val="000000"/>
          <w:sz w:val="24"/>
        </w:rPr>
        <w:t>已入驻湖南省财政厅政府采购电子卖场证明</w:t>
      </w:r>
      <w:r>
        <w:rPr>
          <w:rFonts w:hint="eastAsia" w:ascii="宋体" w:hAnsi="宋体" w:cs="宋体"/>
          <w:color w:val="000000"/>
          <w:sz w:val="24"/>
        </w:rPr>
        <w:t>。</w:t>
      </w:r>
    </w:p>
    <w:p>
      <w:pPr>
        <w:pStyle w:val="73"/>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73"/>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spacing w:before="156" w:beforeLines="50" w:after="156" w:afterLines="50" w:line="440" w:lineRule="exact"/>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1、报名时间：2024年1月8日至2024年1月12日17：30止；</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18"/>
          <w:rFonts w:hint="eastAsia" w:ascii="宋体" w:hAnsi="宋体" w:cs="宋体"/>
          <w:color w:val="auto"/>
          <w:kern w:val="0"/>
          <w:sz w:val="24"/>
        </w:rPr>
        <w:t>zcglccg@126.com</w:t>
      </w:r>
      <w:r>
        <w:rPr>
          <w:rStyle w:val="18"/>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4、现场勘察要求：投标人在报名期间工作日的上午1</w:t>
      </w:r>
      <w:r>
        <w:rPr>
          <w:rFonts w:ascii="宋体" w:hAnsi="宋体" w:cs="宋体"/>
          <w:color w:val="000000"/>
          <w:kern w:val="0"/>
          <w:sz w:val="24"/>
        </w:rPr>
        <w:t>0</w:t>
      </w:r>
      <w:r>
        <w:rPr>
          <w:rFonts w:hint="eastAsia" w:ascii="宋体" w:hAnsi="宋体" w:cs="宋体"/>
          <w:color w:val="000000"/>
          <w:kern w:val="0"/>
          <w:sz w:val="24"/>
        </w:rPr>
        <w:t>:</w:t>
      </w:r>
      <w:r>
        <w:rPr>
          <w:rFonts w:ascii="宋体" w:hAnsi="宋体" w:cs="宋体"/>
          <w:color w:val="000000"/>
          <w:kern w:val="0"/>
          <w:sz w:val="24"/>
        </w:rPr>
        <w:t>00-12</w:t>
      </w:r>
      <w:r>
        <w:rPr>
          <w:rFonts w:hint="eastAsia" w:ascii="宋体" w:hAnsi="宋体" w:cs="宋体"/>
          <w:color w:val="000000"/>
          <w:kern w:val="0"/>
          <w:sz w:val="24"/>
        </w:rPr>
        <w:t>:</w:t>
      </w:r>
      <w:r>
        <w:rPr>
          <w:rFonts w:ascii="宋体" w:hAnsi="宋体" w:cs="宋体"/>
          <w:color w:val="000000"/>
          <w:kern w:val="0"/>
          <w:sz w:val="24"/>
        </w:rPr>
        <w:t>00</w:t>
      </w:r>
      <w:r>
        <w:rPr>
          <w:rFonts w:hint="eastAsia" w:ascii="宋体" w:hAnsi="宋体" w:cs="宋体"/>
          <w:color w:val="000000"/>
          <w:kern w:val="0"/>
          <w:sz w:val="24"/>
        </w:rPr>
        <w:t>，下午1</w:t>
      </w:r>
      <w:r>
        <w:rPr>
          <w:rFonts w:ascii="宋体" w:hAnsi="宋体" w:cs="宋体"/>
          <w:color w:val="000000"/>
          <w:kern w:val="0"/>
          <w:sz w:val="24"/>
        </w:rPr>
        <w:t>4</w:t>
      </w:r>
      <w:r>
        <w:rPr>
          <w:rFonts w:hint="eastAsia" w:ascii="宋体" w:hAnsi="宋体" w:cs="宋体"/>
          <w:color w:val="000000"/>
          <w:kern w:val="0"/>
          <w:sz w:val="24"/>
        </w:rPr>
        <w:t>:</w:t>
      </w:r>
      <w:r>
        <w:rPr>
          <w:rFonts w:ascii="宋体" w:hAnsi="宋体" w:cs="宋体"/>
          <w:color w:val="000000"/>
          <w:kern w:val="0"/>
          <w:sz w:val="24"/>
        </w:rPr>
        <w:t>00-16</w:t>
      </w:r>
      <w:r>
        <w:rPr>
          <w:rFonts w:hint="eastAsia" w:ascii="宋体" w:hAnsi="宋体" w:cs="宋体"/>
          <w:color w:val="000000"/>
          <w:kern w:val="0"/>
          <w:sz w:val="24"/>
        </w:rPr>
        <w:t>:</w:t>
      </w:r>
      <w:r>
        <w:rPr>
          <w:rFonts w:ascii="宋体" w:hAnsi="宋体" w:cs="宋体"/>
          <w:color w:val="000000"/>
          <w:kern w:val="0"/>
          <w:sz w:val="24"/>
        </w:rPr>
        <w:t>00</w:t>
      </w:r>
      <w:r>
        <w:rPr>
          <w:rFonts w:hint="eastAsia" w:ascii="宋体" w:hAnsi="宋体" w:cs="宋体"/>
          <w:color w:val="000000"/>
          <w:kern w:val="0"/>
          <w:sz w:val="24"/>
        </w:rPr>
        <w:t>到学校教材库励志楼</w:t>
      </w:r>
      <w:r>
        <w:rPr>
          <w:rFonts w:ascii="宋体" w:hAnsi="宋体" w:cs="宋体"/>
          <w:color w:val="000000"/>
          <w:kern w:val="0"/>
          <w:sz w:val="24"/>
        </w:rPr>
        <w:t>140</w:t>
      </w:r>
      <w:r>
        <w:rPr>
          <w:rFonts w:hint="eastAsia" w:ascii="宋体" w:hAnsi="宋体" w:cs="宋体"/>
          <w:color w:val="000000"/>
          <w:kern w:val="0"/>
          <w:sz w:val="24"/>
        </w:rPr>
        <w:t>（联系汪老师</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13787338504</w:t>
      </w:r>
      <w:r>
        <w:rPr>
          <w:rFonts w:hint="eastAsia" w:ascii="宋体" w:hAnsi="宋体" w:cs="宋体"/>
          <w:color w:val="000000"/>
          <w:kern w:val="0"/>
          <w:sz w:val="24"/>
        </w:rPr>
        <w:t>）现场查看样品了解采购需求，勘察后领取</w:t>
      </w:r>
      <w:bookmarkStart w:id="1" w:name="_Hlk155257543"/>
      <w:r>
        <w:rPr>
          <w:rFonts w:hint="eastAsia" w:ascii="宋体" w:hAnsi="宋体" w:cs="宋体"/>
          <w:color w:val="000000"/>
          <w:kern w:val="0"/>
          <w:sz w:val="24"/>
        </w:rPr>
        <w:t>勘察证明</w:t>
      </w:r>
      <w:bookmarkEnd w:id="1"/>
      <w:r>
        <w:rPr>
          <w:rFonts w:hint="eastAsia" w:ascii="宋体" w:hAnsi="宋体" w:cs="宋体"/>
          <w:color w:val="000000"/>
          <w:kern w:val="0"/>
          <w:sz w:val="24"/>
        </w:rPr>
        <w:t>，方可具有现场递交投标资料资格（开标时递交有效勘察证明）。</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1、响应文件递交开始时间：2024年1月1</w:t>
      </w:r>
      <w:r>
        <w:rPr>
          <w:rFonts w:hint="eastAsia" w:ascii="宋体" w:hAnsi="宋体" w:cs="宋体"/>
          <w:color w:val="000000"/>
          <w:kern w:val="0"/>
          <w:sz w:val="24"/>
          <w:lang w:val="en-US" w:eastAsia="zh-CN"/>
        </w:rPr>
        <w:t>6</w:t>
      </w:r>
      <w:r>
        <w:rPr>
          <w:rFonts w:hint="eastAsia" w:ascii="宋体" w:hAnsi="宋体" w:cs="宋体"/>
          <w:color w:val="000000"/>
          <w:kern w:val="0"/>
          <w:sz w:val="24"/>
        </w:rPr>
        <w:t>日北京时间</w:t>
      </w:r>
      <w:r>
        <w:rPr>
          <w:rFonts w:hint="eastAsia" w:ascii="宋体" w:hAnsi="宋体" w:cs="宋体"/>
          <w:color w:val="000000"/>
          <w:kern w:val="0"/>
          <w:sz w:val="24"/>
          <w:lang w:val="en-US" w:eastAsia="zh-CN"/>
        </w:rPr>
        <w:t>9</w:t>
      </w:r>
      <w:r>
        <w:rPr>
          <w:rFonts w:hint="eastAsia" w:ascii="宋体" w:hAnsi="宋体" w:cs="宋体"/>
          <w:color w:val="000000"/>
          <w:kern w:val="0"/>
          <w:sz w:val="24"/>
        </w:rPr>
        <w:t>:00；</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2、响应文件递交截止时间（开标时间）：2024年1月1</w:t>
      </w:r>
      <w:r>
        <w:rPr>
          <w:rFonts w:hint="eastAsia" w:ascii="宋体" w:hAnsi="宋体" w:cs="宋体"/>
          <w:color w:val="000000"/>
          <w:kern w:val="0"/>
          <w:sz w:val="24"/>
          <w:lang w:val="en-US" w:eastAsia="zh-CN"/>
        </w:rPr>
        <w:t>6</w:t>
      </w:r>
      <w:r>
        <w:rPr>
          <w:rFonts w:hint="eastAsia" w:ascii="宋体" w:hAnsi="宋体" w:cs="宋体"/>
          <w:color w:val="000000"/>
          <w:kern w:val="0"/>
          <w:sz w:val="24"/>
        </w:rPr>
        <w:t>日北京时间</w:t>
      </w:r>
      <w:r>
        <w:rPr>
          <w:rFonts w:hint="eastAsia" w:ascii="宋体" w:hAnsi="宋体" w:cs="宋体"/>
          <w:color w:val="000000"/>
          <w:kern w:val="0"/>
          <w:sz w:val="24"/>
          <w:lang w:val="en-US" w:eastAsia="zh-CN"/>
        </w:rPr>
        <w:t>9</w:t>
      </w:r>
      <w:r>
        <w:rPr>
          <w:rFonts w:hint="eastAsia" w:ascii="宋体" w:hAnsi="宋体" w:cs="宋体"/>
          <w:color w:val="000000"/>
          <w:kern w:val="0"/>
          <w:sz w:val="24"/>
        </w:rPr>
        <w:t>:00；</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3、开标地点：湖南化工职业技术学院行政楼109室。</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left="479" w:leftChars="228"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3"/>
        <w:ind w:firstLine="480"/>
        <w:rPr>
          <w:color w:val="000000"/>
        </w:rPr>
      </w:pPr>
    </w:p>
    <w:p>
      <w:pPr>
        <w:pStyle w:val="4"/>
        <w:rPr>
          <w:color w:val="000000"/>
        </w:rPr>
      </w:pPr>
    </w:p>
    <w:p>
      <w:pPr>
        <w:pStyle w:val="4"/>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line="440" w:lineRule="exact"/>
        <w:ind w:firstLine="5280" w:firstLineChars="2200"/>
        <w:jc w:val="left"/>
        <w:rPr>
          <w:rFonts w:ascii="宋体" w:hAnsi="宋体" w:cs="宋体"/>
          <w:kern w:val="0"/>
          <w:sz w:val="24"/>
        </w:rPr>
      </w:pP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5"/>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2"/>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双方共同签订《湖南化工职业技术学院2024年度教学及教辅资料印刷项目合同书》。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1、具有独立承担民事责任的能力；</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3、具有履行合同所必需的设备和专业技术能力；</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5、参加本次采购活动前三年内，在经营活动中没有重大违法记录；</w:t>
      </w:r>
    </w:p>
    <w:p>
      <w:pPr>
        <w:pStyle w:val="4"/>
        <w:spacing w:line="360" w:lineRule="auto"/>
        <w:ind w:firstLine="480" w:firstLineChars="200"/>
        <w:rPr>
          <w:rFonts w:ascii="宋体" w:hAnsi="宋体" w:cs="宋体"/>
          <w:color w:val="000000"/>
          <w:sz w:val="24"/>
        </w:rPr>
      </w:pPr>
      <w:r>
        <w:rPr>
          <w:rFonts w:hint="eastAsia" w:ascii="宋体" w:hAnsi="宋体" w:cs="宋体"/>
          <w:color w:val="000000"/>
          <w:sz w:val="24"/>
        </w:rPr>
        <w:t>6、</w:t>
      </w:r>
      <w:r>
        <w:rPr>
          <w:rFonts w:hint="eastAsia" w:ascii="宋体" w:hAnsi="宋体" w:eastAsia="宋体" w:cs="宋体"/>
          <w:color w:val="000000"/>
          <w:sz w:val="24"/>
          <w:szCs w:val="24"/>
        </w:rPr>
        <w:t>已入驻湖南省财政厅政府采购电子卖场证明。</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八、项目需求</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1、采购内容</w:t>
      </w:r>
    </w:p>
    <w:p>
      <w:pPr>
        <w:widowControl/>
        <w:spacing w:line="360" w:lineRule="auto"/>
        <w:ind w:firstLine="480" w:firstLineChars="200"/>
        <w:jc w:val="left"/>
        <w:rPr>
          <w:rFonts w:ascii="宋体" w:hAnsi="宋体" w:cs="宋体"/>
          <w:sz w:val="24"/>
        </w:rPr>
      </w:pPr>
      <w:bookmarkStart w:id="2" w:name="_Hlk155257755"/>
      <w:r>
        <w:rPr>
          <w:rFonts w:hint="eastAsia" w:ascii="宋体" w:hAnsi="宋体" w:cs="宋体"/>
          <w:sz w:val="24"/>
        </w:rPr>
        <w:t>湖南化工职业技术学院教学及教辅资料印刷项目，主要包括读书笔记本、实验报告纸、实习笔记本、图纸、作业本、英语本等。</w:t>
      </w:r>
    </w:p>
    <w:bookmarkEnd w:id="2"/>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2、投标报价要求                                    </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本次采购为供应商入围采购，报价为单项报价，供应商报价时须写明单价。</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3、服务期限、付款方式</w:t>
      </w:r>
    </w:p>
    <w:p>
      <w:pPr>
        <w:pStyle w:val="11"/>
        <w:shd w:val="clear" w:color="auto" w:fill="FFFFFF"/>
        <w:spacing w:before="0" w:beforeAutospacing="0" w:after="0" w:afterAutospacing="0" w:line="360" w:lineRule="auto"/>
        <w:ind w:right="120" w:firstLine="480" w:firstLineChars="200"/>
        <w:jc w:val="both"/>
        <w:rPr>
          <w:rFonts w:cs="宋体"/>
          <w:bCs/>
          <w:color w:val="000000"/>
        </w:rPr>
      </w:pPr>
      <w:bookmarkStart w:id="7" w:name="_GoBack"/>
      <w:r>
        <w:rPr>
          <w:rFonts w:hint="eastAsia" w:cs="宋体"/>
          <w:bCs/>
          <w:color w:val="000000"/>
        </w:rPr>
        <w:t>1）服务期限：一年</w:t>
      </w:r>
    </w:p>
    <w:p>
      <w:pPr>
        <w:pStyle w:val="11"/>
        <w:shd w:val="clear" w:color="auto" w:fill="FFFFFF"/>
        <w:spacing w:before="0" w:beforeAutospacing="0" w:after="0" w:afterAutospacing="0" w:line="360" w:lineRule="auto"/>
        <w:ind w:right="120" w:firstLine="480" w:firstLineChars="200"/>
        <w:jc w:val="both"/>
        <w:rPr>
          <w:rFonts w:cs="宋体"/>
          <w:bCs/>
          <w:color w:val="000000"/>
        </w:rPr>
      </w:pPr>
      <w:r>
        <w:rPr>
          <w:rFonts w:hint="eastAsia" w:cs="宋体"/>
          <w:bCs/>
          <w:color w:val="000000"/>
        </w:rPr>
        <w:t>2）付款方式：采购人按供应商的投标报价支付费用，每学期结算一次。</w:t>
      </w:r>
    </w:p>
    <w:p>
      <w:pPr>
        <w:pStyle w:val="11"/>
        <w:shd w:val="clear" w:color="auto" w:fill="FFFFFF"/>
        <w:spacing w:before="0" w:beforeAutospacing="0" w:after="0" w:afterAutospacing="0" w:line="360" w:lineRule="auto"/>
        <w:ind w:right="120" w:firstLine="482" w:firstLineChars="200"/>
        <w:jc w:val="both"/>
        <w:outlineLvl w:val="0"/>
        <w:rPr>
          <w:rFonts w:cs="宋体"/>
          <w:b/>
          <w:color w:val="000000"/>
        </w:rPr>
      </w:pPr>
      <w:r>
        <w:rPr>
          <w:rFonts w:hint="eastAsia" w:cs="宋体"/>
          <w:b/>
          <w:color w:val="000000"/>
        </w:rPr>
        <w:t>4、服务要求</w:t>
      </w:r>
    </w:p>
    <w:bookmarkEnd w:id="7"/>
    <w:p>
      <w:pPr>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1）中标人必须保证按招标人所列要求供应物品，如发现有不符要求的，招标人有权拒付一切款项，并终止与中标人的合同，由此引发的一切经济及法律后果由中标人承担，招标人保留对中标人追究法律责任的权利，法律诉讼地是招标人所在地。</w:t>
      </w:r>
    </w:p>
    <w:p>
      <w:pPr>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2）中标人负责送货上门，配发清单。</w:t>
      </w:r>
    </w:p>
    <w:p>
      <w:pPr>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3）先送货，后结算。</w:t>
      </w:r>
    </w:p>
    <w:p>
      <w:pPr>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4）中标人负责在招标人有需要时提供相应帮助。</w:t>
      </w:r>
    </w:p>
    <w:p>
      <w:pPr>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5）供货期为1年，供货期内中标人按不高于招标价供货；如果招标人需要采购合同清单中没有的物品时，中标人承诺以不高于市场价供货。</w:t>
      </w:r>
    </w:p>
    <w:p>
      <w:pPr>
        <w:pStyle w:val="11"/>
        <w:shd w:val="clear" w:color="auto" w:fill="FFFFFF"/>
        <w:spacing w:before="0" w:beforeAutospacing="0" w:after="0" w:afterAutospacing="0" w:line="360" w:lineRule="auto"/>
        <w:ind w:right="120" w:firstLine="482" w:firstLineChars="200"/>
        <w:jc w:val="both"/>
        <w:outlineLvl w:val="0"/>
        <w:rPr>
          <w:rFonts w:cs="宋体"/>
          <w:b/>
          <w:bCs/>
          <w:color w:val="333333"/>
          <w:shd w:val="clear" w:color="auto" w:fill="FFFFFF"/>
        </w:rPr>
      </w:pPr>
      <w:r>
        <w:rPr>
          <w:rFonts w:hint="eastAsia" w:cs="宋体"/>
          <w:b/>
          <w:color w:val="000000"/>
        </w:rPr>
        <w:t>5、</w:t>
      </w:r>
      <w:r>
        <w:rPr>
          <w:rFonts w:hint="eastAsia" w:cs="宋体"/>
          <w:b/>
          <w:bCs/>
          <w:color w:val="333333"/>
          <w:shd w:val="clear" w:color="auto" w:fill="FFFFFF"/>
        </w:rPr>
        <w:t>作业本、读书笔记本、实习笔记本、实验报告纸等书写用纸质量要求</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1、纸张平整、匀称、不渗水，色度符合作业书写用纸的要求。</w:t>
      </w:r>
    </w:p>
    <w:p>
      <w:pPr>
        <w:widowControl/>
        <w:spacing w:line="360" w:lineRule="auto"/>
        <w:ind w:firstLine="480" w:firstLineChars="200"/>
        <w:jc w:val="left"/>
        <w:rPr>
          <w:rFonts w:ascii="宋体" w:hAnsi="宋体" w:cs="宋体"/>
          <w:color w:val="000000"/>
          <w:kern w:val="0"/>
          <w:sz w:val="24"/>
          <w:highlight w:val="red"/>
        </w:rPr>
      </w:pPr>
      <w:r>
        <w:rPr>
          <w:rFonts w:hint="eastAsia" w:ascii="宋体" w:hAnsi="宋体" w:cs="宋体"/>
          <w:color w:val="000000"/>
          <w:kern w:val="0"/>
          <w:sz w:val="24"/>
        </w:rPr>
        <w:t>2、印刷清晰，不少页或缺页，装帧美观，装订牢固。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招标书可以从湖南化工职业技术学院网上下载电子稿获得，填写完毕后盖公司章并打印出纸质稿。开标之日再来我院交标书，</w:t>
      </w:r>
      <w:r>
        <w:rPr>
          <w:rFonts w:hint="eastAsia" w:ascii="宋体" w:hAnsi="宋体" w:cs="宋体"/>
          <w:b/>
          <w:color w:val="000000"/>
          <w:kern w:val="0"/>
          <w:sz w:val="24"/>
        </w:rPr>
        <w:t>交标书时，要求纸质稿四份密封</w:t>
      </w:r>
      <w:r>
        <w:rPr>
          <w:rFonts w:hint="eastAsia" w:ascii="宋体" w:hAnsi="宋体" w:cs="宋体"/>
          <w:b/>
          <w:bCs/>
          <w:color w:val="000000"/>
          <w:kern w:val="0"/>
          <w:sz w:val="24"/>
        </w:rPr>
        <w:t>（一正三副）</w:t>
      </w:r>
      <w:r>
        <w:rPr>
          <w:rFonts w:hint="eastAsia" w:ascii="宋体" w:hAnsi="宋体" w:cs="宋体"/>
          <w:color w:val="000000"/>
          <w:kern w:val="0"/>
          <w:sz w:val="24"/>
        </w:rPr>
        <w:t>。</w:t>
      </w:r>
    </w:p>
    <w:p>
      <w:pPr>
        <w:widowControl/>
        <w:spacing w:line="360" w:lineRule="auto"/>
        <w:ind w:firstLine="480" w:firstLineChars="200"/>
        <w:jc w:val="left"/>
        <w:rPr>
          <w:rFonts w:ascii="宋体" w:hAnsi="宋体" w:cs="宋体"/>
          <w:color w:val="000000"/>
          <w:kern w:val="0"/>
          <w:sz w:val="24"/>
        </w:rPr>
      </w:pPr>
    </w:p>
    <w:p>
      <w:pPr>
        <w:pStyle w:val="4"/>
        <w:spacing w:line="360" w:lineRule="auto"/>
        <w:rPr>
          <w:rFonts w:ascii="宋体" w:hAnsi="宋体" w:eastAsia="宋体" w:cs="宋体"/>
          <w:color w:val="000000"/>
          <w:sz w:val="24"/>
          <w:szCs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bookmarkStart w:id="3" w:name="_Hlk155257821"/>
      <w:r>
        <w:rPr>
          <w:rFonts w:hint="eastAsia" w:ascii="微软雅黑" w:hAnsi="微软雅黑" w:eastAsia="微软雅黑" w:cs="微软雅黑"/>
          <w:b/>
          <w:color w:val="000000"/>
          <w:kern w:val="0"/>
          <w:sz w:val="28"/>
          <w:szCs w:val="28"/>
        </w:rPr>
        <w:t>2024年度教学及教辅资料印刷</w:t>
      </w:r>
      <w:bookmarkEnd w:id="3"/>
      <w:r>
        <w:rPr>
          <w:rFonts w:hint="eastAsia" w:ascii="微软雅黑" w:hAnsi="微软雅黑" w:eastAsia="微软雅黑" w:cs="微软雅黑"/>
          <w:b/>
          <w:color w:val="000000"/>
          <w:kern w:val="0"/>
          <w:sz w:val="28"/>
          <w:szCs w:val="28"/>
        </w:rPr>
        <w:t>比选项目投标书（格式）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的招标文件的要求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（全名及</w:t>
      </w:r>
      <w:r>
        <w:rPr>
          <w:rFonts w:hint="eastAsia" w:ascii="宋体" w:hAnsi="宋体" w:cs="宋体"/>
          <w:color w:val="000000"/>
          <w:kern w:val="0"/>
          <w:sz w:val="24"/>
          <w:u w:val="single"/>
        </w:rPr>
        <w:t>职衔</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olor w:val="000000"/>
          <w:kern w:val="0"/>
          <w:sz w:val="24"/>
        </w:rPr>
        <w:t xml:space="preserve">                 </w:t>
      </w:r>
    </w:p>
    <w:p>
      <w:pPr>
        <w:widowControl/>
        <w:spacing w:after="156" w:afterLines="50" w:line="420" w:lineRule="exact"/>
        <w:jc w:val="left"/>
        <w:rPr>
          <w:rFonts w:ascii="宋体" w:hAnsi="宋体" w:cs="宋体"/>
          <w:color w:val="000000"/>
          <w:kern w:val="0"/>
          <w:sz w:val="24"/>
        </w:rPr>
      </w:pPr>
      <w:r>
        <w:rPr>
          <w:rFonts w:ascii="宋体" w:hAnsi="宋体" w:cs="宋体"/>
          <w:color w:val="000000"/>
          <w:kern w:val="0"/>
          <w:sz w:val="24"/>
          <w:u w:val="single"/>
        </w:rPr>
        <w:t>（投标人名称）</w:t>
      </w:r>
      <w:r>
        <w:rPr>
          <w:rFonts w:hint="eastAsia" w:ascii="宋体" w:hAnsi="宋体" w:cs="宋体"/>
          <w:color w:val="000000"/>
          <w:kern w:val="0"/>
          <w:sz w:val="24"/>
          <w:u w:val="single"/>
        </w:rPr>
        <w:t xml:space="preserve">    </w:t>
      </w:r>
      <w:r>
        <w:rPr>
          <w:rFonts w:ascii="宋体" w:hAnsi="宋体" w:cs="宋体"/>
          <w:color w:val="000000"/>
          <w:kern w:val="0"/>
          <w:sz w:val="24"/>
        </w:rPr>
        <w:t>的名义投标。提交下述文件：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、投标书</w:t>
      </w:r>
      <w:r>
        <w:rPr>
          <w:rFonts w:hint="eastAsia"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w:t>
      </w:r>
      <w:r>
        <w:rPr>
          <w:rFonts w:hint="eastAsia" w:ascii="宋体" w:hAnsi="宋体" w:cs="宋体"/>
          <w:color w:val="000000"/>
          <w:kern w:val="0"/>
          <w:sz w:val="24"/>
        </w:rPr>
        <w:t>服务方案；</w:t>
      </w:r>
    </w:p>
    <w:p>
      <w:pPr>
        <w:widowControl/>
        <w:spacing w:line="42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服务承诺书</w:t>
      </w:r>
      <w:r>
        <w:rPr>
          <w:rFonts w:hint="eastAsia"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、投标单位基本情况</w:t>
      </w:r>
      <w:r>
        <w:rPr>
          <w:rFonts w:hint="eastAsia"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5</w:t>
      </w:r>
      <w:r>
        <w:rPr>
          <w:rFonts w:ascii="宋体" w:hAnsi="宋体" w:cs="宋体"/>
          <w:color w:val="000000"/>
          <w:kern w:val="0"/>
          <w:sz w:val="24"/>
        </w:rPr>
        <w:t>、资格文件</w:t>
      </w:r>
      <w:r>
        <w:rPr>
          <w:rFonts w:hint="eastAsia" w:ascii="宋体" w:hAnsi="宋体" w:cs="宋体"/>
          <w:color w:val="000000"/>
          <w:kern w:val="0"/>
          <w:sz w:val="24"/>
        </w:rPr>
        <w:t>。</w:t>
      </w:r>
    </w:p>
    <w:p>
      <w:pPr>
        <w:widowControl/>
        <w:spacing w:line="420" w:lineRule="exact"/>
        <w:jc w:val="left"/>
        <w:rPr>
          <w:rFonts w:ascii="宋体" w:hAnsi="宋体"/>
          <w:color w:val="000000"/>
          <w:kern w:val="0"/>
          <w:sz w:val="24"/>
        </w:rPr>
      </w:pPr>
      <w:r>
        <w:rPr>
          <w:rFonts w:hint="eastAsia" w:ascii="宋体" w:hAnsi="宋体"/>
          <w:color w:val="000000"/>
          <w:kern w:val="0"/>
          <w:sz w:val="24"/>
        </w:rPr>
        <w:t xml:space="preserve">    </w:t>
      </w:r>
    </w:p>
    <w:p>
      <w:pPr>
        <w:widowControl/>
        <w:spacing w:line="42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w:t>
      </w:r>
      <w:r>
        <w:rPr>
          <w:rFonts w:ascii="宋体" w:hAnsi="宋体" w:cs="宋体"/>
          <w:b/>
          <w:bCs/>
          <w:color w:val="000000"/>
          <w:kern w:val="0"/>
          <w:sz w:val="24"/>
        </w:rPr>
        <w:t>签字代表在此声明并同意</w:t>
      </w:r>
      <w:r>
        <w:rPr>
          <w:rFonts w:hint="eastAsia" w:ascii="宋体" w:hAnsi="宋体" w:cs="宋体"/>
          <w:b/>
          <w:bCs/>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p>
    <w:p>
      <w:pPr>
        <w:widowControl/>
        <w:spacing w:line="375" w:lineRule="atLeast"/>
        <w:jc w:val="left"/>
        <w:rPr>
          <w:rFonts w:ascii="宋体" w:hAnsi="宋体" w:cs="宋体"/>
          <w:bCs/>
          <w:color w:val="000000"/>
          <w:kern w:val="0"/>
          <w:szCs w:val="21"/>
        </w:rPr>
      </w:pPr>
    </w:p>
    <w:p>
      <w:pPr>
        <w:widowControl/>
        <w:spacing w:line="375" w:lineRule="atLeast"/>
        <w:jc w:val="left"/>
        <w:rPr>
          <w:rFonts w:ascii="宋体" w:hAnsi="宋体" w:cs="宋体"/>
          <w:bCs/>
          <w:color w:val="000000"/>
          <w:kern w:val="0"/>
          <w:szCs w:val="21"/>
        </w:rPr>
      </w:pPr>
    </w:p>
    <w:p>
      <w:pPr>
        <w:pStyle w:val="12"/>
        <w:tabs>
          <w:tab w:val="left" w:pos="3420"/>
        </w:tabs>
        <w:rPr>
          <w:rFonts w:ascii="宋体" w:hAnsi="宋体" w:cs="宋体"/>
          <w:bCs/>
          <w:kern w:val="0"/>
          <w:szCs w:val="21"/>
        </w:rPr>
      </w:pPr>
    </w:p>
    <w:p>
      <w:pPr>
        <w:pStyle w:val="12"/>
        <w:tabs>
          <w:tab w:val="left" w:pos="3420"/>
        </w:tabs>
        <w:ind w:left="0" w:leftChars="0" w:firstLine="0" w:firstLineChars="0"/>
        <w:rPr>
          <w:rFonts w:ascii="宋体" w:hAnsi="宋体" w:cs="宋体"/>
          <w:bCs/>
          <w:kern w:val="0"/>
          <w:szCs w:val="21"/>
        </w:rPr>
      </w:pPr>
    </w:p>
    <w:p>
      <w:pPr>
        <w:widowControl/>
        <w:spacing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p>
      <w:pPr>
        <w:widowControl/>
        <w:spacing w:line="375" w:lineRule="atLeast"/>
        <w:ind w:firstLine="117" w:firstLineChars="49"/>
        <w:jc w:val="left"/>
        <w:rPr>
          <w:rFonts w:ascii="宋体" w:hAnsi="宋体" w:cs="宋体"/>
          <w:bCs/>
          <w:color w:val="000000"/>
          <w:kern w:val="0"/>
          <w:szCs w:val="21"/>
        </w:rPr>
      </w:pPr>
      <w:r>
        <w:rPr>
          <w:rFonts w:hint="eastAsia" w:ascii="宋体" w:hAnsi="宋体" w:cs="宋体"/>
          <w:bCs/>
          <w:color w:val="000000"/>
          <w:kern w:val="0"/>
          <w:sz w:val="24"/>
        </w:rPr>
        <w:t xml:space="preserve"> </w:t>
      </w:r>
    </w:p>
    <w:p>
      <w:pPr>
        <w:pStyle w:val="3"/>
        <w:ind w:firstLine="480"/>
        <w:rPr>
          <w:rFonts w:ascii="宋体" w:hAnsi="宋体" w:cs="宋体"/>
          <w:bCs/>
          <w:color w:val="000000"/>
          <w:kern w:val="0"/>
          <w:szCs w:val="21"/>
        </w:rPr>
      </w:pPr>
    </w:p>
    <w:p>
      <w:pPr>
        <w:pStyle w:val="4"/>
        <w:rPr>
          <w:color w:val="000000"/>
        </w:rPr>
      </w:pPr>
    </w:p>
    <w:p>
      <w:pPr>
        <w:widowControl/>
        <w:spacing w:line="375" w:lineRule="atLeast"/>
        <w:ind w:firstLine="137" w:firstLineChars="49"/>
        <w:jc w:val="left"/>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附件3</w:t>
      </w:r>
    </w:p>
    <w:p>
      <w:pPr>
        <w:widowControl/>
        <w:spacing w:before="124" w:beforeLines="40" w:after="124" w:afterLines="40" w:line="375"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需要提交的资格证明文件</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（递交投标文件时，同时递交一分资质证明进行现场查验）</w:t>
      </w:r>
    </w:p>
    <w:p>
      <w:pPr>
        <w:pStyle w:val="11"/>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w:t>
      </w:r>
    </w:p>
    <w:p>
      <w:pPr>
        <w:pStyle w:val="11"/>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1"/>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1"/>
        <w:widowControl w:val="0"/>
        <w:adjustRightInd w:val="0"/>
        <w:snapToGrid w:val="0"/>
        <w:spacing w:before="0" w:beforeAutospacing="0" w:after="0" w:afterAutospacing="0" w:line="360" w:lineRule="auto"/>
        <w:ind w:firstLine="482" w:firstLineChars="200"/>
        <w:rPr>
          <w:rFonts w:cs="宋体"/>
          <w:b/>
          <w:color w:val="000000"/>
        </w:rPr>
      </w:pPr>
      <w:r>
        <w:rPr>
          <w:rFonts w:hint="eastAsia" w:cs="宋体"/>
          <w:b/>
          <w:color w:val="000000"/>
        </w:rPr>
        <w:t>4、电子卖场资质证明材料；</w:t>
      </w:r>
    </w:p>
    <w:p>
      <w:pPr>
        <w:pStyle w:val="11"/>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1"/>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1"/>
        <w:widowControl w:val="0"/>
        <w:adjustRightInd w:val="0"/>
        <w:snapToGrid w:val="0"/>
        <w:spacing w:before="0" w:beforeAutospacing="0" w:after="0" w:afterAutospacing="0" w:line="360" w:lineRule="auto"/>
        <w:ind w:firstLine="482" w:firstLineChars="200"/>
        <w:rPr>
          <w:rFonts w:cs="宋体"/>
          <w:b/>
          <w:color w:val="000000"/>
        </w:rPr>
      </w:pPr>
      <w:r>
        <w:rPr>
          <w:rFonts w:hint="eastAsia" w:cs="宋体"/>
          <w:b/>
          <w:color w:val="000000"/>
        </w:rPr>
        <w:t>7、勘察证明。</w:t>
      </w: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金额单位：人民币元</w:t>
      </w:r>
    </w:p>
    <w:tbl>
      <w:tblPr>
        <w:tblStyle w:val="13"/>
        <w:tblW w:w="966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219"/>
        <w:gridCol w:w="567"/>
        <w:gridCol w:w="99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5" w:type="dxa"/>
            <w:vAlign w:val="center"/>
          </w:tcPr>
          <w:p>
            <w:pPr>
              <w:widowControl/>
              <w:spacing w:before="124" w:beforeLines="40" w:after="124" w:afterLines="40" w:line="375" w:lineRule="atLeast"/>
              <w:jc w:val="center"/>
              <w:rPr>
                <w:b/>
                <w:kern w:val="0"/>
                <w:szCs w:val="21"/>
              </w:rPr>
            </w:pPr>
            <w:r>
              <w:rPr>
                <w:rFonts w:hAnsi="宋体"/>
                <w:b/>
                <w:kern w:val="0"/>
                <w:szCs w:val="21"/>
              </w:rPr>
              <w:t>品名</w:t>
            </w:r>
          </w:p>
        </w:tc>
        <w:tc>
          <w:tcPr>
            <w:tcW w:w="4219" w:type="dxa"/>
            <w:vAlign w:val="center"/>
          </w:tcPr>
          <w:p>
            <w:pPr>
              <w:widowControl/>
              <w:spacing w:before="124" w:beforeLines="40" w:after="124" w:afterLines="40" w:line="375" w:lineRule="atLeast"/>
              <w:jc w:val="center"/>
              <w:rPr>
                <w:b/>
                <w:kern w:val="0"/>
                <w:szCs w:val="21"/>
              </w:rPr>
            </w:pPr>
            <w:r>
              <w:rPr>
                <w:rFonts w:hint="eastAsia" w:asciiTheme="majorEastAsia" w:hAnsiTheme="majorEastAsia" w:eastAsiaTheme="majorEastAsia" w:cstheme="majorEastAsia"/>
                <w:b/>
                <w:kern w:val="0"/>
                <w:szCs w:val="21"/>
              </w:rPr>
              <w:t>规格及包装要求</w:t>
            </w:r>
          </w:p>
        </w:tc>
        <w:tc>
          <w:tcPr>
            <w:tcW w:w="567" w:type="dxa"/>
            <w:vAlign w:val="center"/>
          </w:tcPr>
          <w:p>
            <w:pPr>
              <w:widowControl/>
              <w:spacing w:before="124" w:beforeLines="40" w:after="124" w:afterLines="40" w:line="375" w:lineRule="atLeast"/>
              <w:jc w:val="center"/>
              <w:rPr>
                <w:rFonts w:hAnsi="宋体"/>
                <w:b/>
                <w:kern w:val="0"/>
                <w:szCs w:val="21"/>
              </w:rPr>
            </w:pPr>
            <w:r>
              <w:rPr>
                <w:rFonts w:hAnsi="宋体"/>
                <w:b/>
                <w:kern w:val="0"/>
                <w:szCs w:val="21"/>
              </w:rPr>
              <w:t>单位</w:t>
            </w:r>
          </w:p>
        </w:tc>
        <w:tc>
          <w:tcPr>
            <w:tcW w:w="992" w:type="dxa"/>
            <w:vAlign w:val="center"/>
          </w:tcPr>
          <w:p>
            <w:pPr>
              <w:widowControl/>
              <w:spacing w:before="124" w:beforeLines="40" w:after="124" w:afterLines="40" w:line="375" w:lineRule="atLeast"/>
              <w:jc w:val="center"/>
              <w:rPr>
                <w:rFonts w:hAnsi="宋体"/>
                <w:b/>
                <w:kern w:val="0"/>
                <w:szCs w:val="21"/>
              </w:rPr>
            </w:pPr>
            <w:r>
              <w:rPr>
                <w:rFonts w:hint="eastAsia" w:hAnsi="宋体"/>
                <w:b/>
                <w:kern w:val="0"/>
                <w:szCs w:val="21"/>
              </w:rPr>
              <w:t>拟采购数量</w:t>
            </w:r>
          </w:p>
        </w:tc>
        <w:tc>
          <w:tcPr>
            <w:tcW w:w="851" w:type="dxa"/>
            <w:vAlign w:val="center"/>
          </w:tcPr>
          <w:p>
            <w:pPr>
              <w:widowControl/>
              <w:spacing w:before="124" w:beforeLines="40" w:after="124" w:afterLines="40" w:line="375" w:lineRule="atLeast"/>
              <w:jc w:val="center"/>
              <w:rPr>
                <w:b/>
                <w:kern w:val="0"/>
                <w:szCs w:val="21"/>
              </w:rPr>
            </w:pPr>
            <w:r>
              <w:rPr>
                <w:rFonts w:hAnsi="宋体"/>
                <w:b/>
                <w:kern w:val="0"/>
                <w:szCs w:val="21"/>
              </w:rPr>
              <w:t>单价</w:t>
            </w:r>
            <w:r>
              <w:rPr>
                <w:rFonts w:hint="eastAsia" w:hAnsi="宋体"/>
                <w:b/>
                <w:kern w:val="0"/>
                <w:szCs w:val="21"/>
              </w:rPr>
              <w:t>（元）</w:t>
            </w:r>
          </w:p>
        </w:tc>
        <w:tc>
          <w:tcPr>
            <w:tcW w:w="850" w:type="dxa"/>
          </w:tcPr>
          <w:p>
            <w:pPr>
              <w:widowControl/>
              <w:spacing w:before="124" w:beforeLines="40" w:after="124" w:afterLines="40" w:line="375" w:lineRule="atLeast"/>
              <w:jc w:val="center"/>
              <w:rPr>
                <w:rFonts w:hAnsi="宋体"/>
                <w:b/>
                <w:kern w:val="0"/>
                <w:szCs w:val="21"/>
              </w:rPr>
            </w:pPr>
            <w:r>
              <w:rPr>
                <w:rFonts w:hint="eastAsia" w:hAnsi="宋体"/>
                <w:b/>
                <w:kern w:val="0"/>
                <w:szCs w:val="21"/>
              </w:rPr>
              <w:t>总价（元）</w:t>
            </w:r>
          </w:p>
        </w:tc>
        <w:tc>
          <w:tcPr>
            <w:tcW w:w="1134" w:type="dxa"/>
            <w:vAlign w:val="center"/>
          </w:tcPr>
          <w:p>
            <w:pPr>
              <w:widowControl/>
              <w:spacing w:before="124" w:beforeLines="40" w:after="124" w:afterLines="40" w:line="375" w:lineRule="atLeast"/>
              <w:jc w:val="center"/>
              <w:rPr>
                <w:b/>
                <w:kern w:val="0"/>
                <w:szCs w:val="21"/>
              </w:rPr>
            </w:pPr>
            <w:r>
              <w:rPr>
                <w:rFonts w:hAnsi="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55" w:type="dxa"/>
            <w:vAlign w:val="center"/>
          </w:tcPr>
          <w:p>
            <w:pPr>
              <w:widowControl/>
              <w:spacing w:before="124" w:beforeLines="40" w:after="124" w:afterLines="40" w:line="220" w:lineRule="exact"/>
              <w:jc w:val="center"/>
              <w:rPr>
                <w:bCs/>
                <w:kern w:val="0"/>
                <w:szCs w:val="21"/>
              </w:rPr>
            </w:pPr>
            <w:bookmarkStart w:id="4" w:name="_Hlk155193273"/>
            <w:r>
              <w:rPr>
                <w:rFonts w:hAnsi="宋体"/>
                <w:bCs/>
                <w:kern w:val="0"/>
                <w:szCs w:val="21"/>
              </w:rPr>
              <w:t>读书笔记本</w:t>
            </w:r>
          </w:p>
        </w:tc>
        <w:tc>
          <w:tcPr>
            <w:tcW w:w="4219" w:type="dxa"/>
            <w:vAlign w:val="center"/>
          </w:tcPr>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大32开，封面彩色铜版纸，内页60克双胶,60页/本，封面见样品，也可自行设计；</w:t>
            </w:r>
          </w:p>
          <w:p>
            <w:pPr>
              <w:widowControl/>
              <w:jc w:val="left"/>
              <w:rPr>
                <w:bCs/>
                <w:kern w:val="0"/>
                <w:szCs w:val="21"/>
              </w:rPr>
            </w:pPr>
            <w:r>
              <w:rPr>
                <w:rFonts w:hint="eastAsia" w:asciiTheme="majorEastAsia" w:hAnsiTheme="majorEastAsia" w:eastAsiaTheme="majorEastAsia" w:cstheme="majorEastAsia"/>
                <w:bCs/>
                <w:kern w:val="0"/>
                <w:szCs w:val="21"/>
              </w:rPr>
              <w:t>打包：10本一手，200本一包</w:t>
            </w:r>
          </w:p>
        </w:tc>
        <w:tc>
          <w:tcPr>
            <w:tcW w:w="567" w:type="dxa"/>
            <w:vAlign w:val="center"/>
          </w:tcPr>
          <w:p>
            <w:pPr>
              <w:widowControl/>
              <w:spacing w:before="124" w:beforeLines="40" w:after="124" w:afterLines="40" w:line="220" w:lineRule="exact"/>
              <w:jc w:val="center"/>
              <w:rPr>
                <w:rFonts w:ascii="仿宋" w:hAnsi="仿宋" w:eastAsia="仿宋" w:cs="仿宋"/>
                <w:bCs/>
                <w:kern w:val="0"/>
                <w:sz w:val="24"/>
              </w:rPr>
            </w:pPr>
            <w:r>
              <w:rPr>
                <w:rFonts w:hAnsi="宋体"/>
                <w:bCs/>
                <w:kern w:val="0"/>
                <w:szCs w:val="21"/>
              </w:rPr>
              <w:t>本</w:t>
            </w:r>
          </w:p>
        </w:tc>
        <w:tc>
          <w:tcPr>
            <w:tcW w:w="992" w:type="dxa"/>
            <w:vAlign w:val="center"/>
          </w:tcPr>
          <w:p>
            <w:pPr>
              <w:widowControl/>
              <w:spacing w:before="124" w:beforeLines="40" w:after="124" w:afterLines="40" w:line="220" w:lineRule="exact"/>
              <w:jc w:val="center"/>
              <w:rPr>
                <w:bCs/>
                <w:kern w:val="0"/>
                <w:szCs w:val="21"/>
              </w:rPr>
            </w:pPr>
            <w:r>
              <w:rPr>
                <w:rFonts w:hint="eastAsia"/>
                <w:bCs/>
                <w:kern w:val="0"/>
                <w:szCs w:val="21"/>
              </w:rPr>
              <w:t>2</w:t>
            </w:r>
            <w:r>
              <w:rPr>
                <w:bCs/>
                <w:kern w:val="0"/>
                <w:szCs w:val="21"/>
              </w:rPr>
              <w:t>8000</w:t>
            </w:r>
          </w:p>
        </w:tc>
        <w:tc>
          <w:tcPr>
            <w:tcW w:w="851" w:type="dxa"/>
            <w:vAlign w:val="center"/>
          </w:tcPr>
          <w:p>
            <w:pPr>
              <w:widowControl/>
              <w:spacing w:before="124" w:beforeLines="40" w:after="124" w:afterLines="40" w:line="220" w:lineRule="exact"/>
              <w:jc w:val="center"/>
              <w:rPr>
                <w:bCs/>
                <w:kern w:val="0"/>
                <w:szCs w:val="21"/>
                <w:u w:val="single"/>
              </w:rPr>
            </w:pPr>
          </w:p>
        </w:tc>
        <w:tc>
          <w:tcPr>
            <w:tcW w:w="850" w:type="dxa"/>
          </w:tcPr>
          <w:p>
            <w:pPr>
              <w:widowControl/>
              <w:spacing w:before="124" w:beforeLines="40" w:after="124" w:afterLines="40" w:line="220" w:lineRule="exact"/>
              <w:jc w:val="center"/>
              <w:rPr>
                <w:rFonts w:hAnsi="宋体"/>
                <w:bCs/>
                <w:kern w:val="0"/>
                <w:szCs w:val="21"/>
              </w:rPr>
            </w:pPr>
          </w:p>
        </w:tc>
        <w:tc>
          <w:tcPr>
            <w:tcW w:w="1134" w:type="dxa"/>
            <w:vAlign w:val="center"/>
          </w:tcPr>
          <w:p>
            <w:pPr>
              <w:widowControl/>
              <w:spacing w:before="124" w:beforeLines="40" w:after="124" w:afterLines="40" w:line="220" w:lineRule="exact"/>
              <w:jc w:val="center"/>
              <w:rPr>
                <w:bCs/>
                <w:kern w:val="0"/>
                <w:szCs w:val="21"/>
              </w:rPr>
            </w:pPr>
            <w:r>
              <w:rPr>
                <w:rFonts w:hAnsi="宋体"/>
                <w:bCs/>
                <w:kern w:val="0"/>
                <w:szCs w:val="21"/>
              </w:rPr>
              <w:t>内页用</w:t>
            </w:r>
            <w:r>
              <w:rPr>
                <w:bCs/>
                <w:kern w:val="0"/>
                <w:szCs w:val="21"/>
              </w:rPr>
              <w:t>60</w:t>
            </w:r>
            <w:r>
              <w:rPr>
                <w:rFonts w:hAnsi="宋体"/>
                <w:bCs/>
                <w:kern w:val="0"/>
                <w:szCs w:val="21"/>
              </w:rPr>
              <w:t>克纸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55" w:type="dxa"/>
            <w:vAlign w:val="center"/>
          </w:tcPr>
          <w:p>
            <w:pPr>
              <w:widowControl/>
              <w:spacing w:before="124" w:beforeLines="40" w:after="124" w:afterLines="40" w:line="220" w:lineRule="exact"/>
              <w:jc w:val="center"/>
              <w:rPr>
                <w:bCs/>
                <w:kern w:val="0"/>
                <w:szCs w:val="21"/>
              </w:rPr>
            </w:pPr>
            <w:r>
              <w:rPr>
                <w:rFonts w:hAnsi="宋体"/>
                <w:bCs/>
                <w:kern w:val="0"/>
                <w:szCs w:val="21"/>
              </w:rPr>
              <w:t>实验报告纸</w:t>
            </w:r>
          </w:p>
        </w:tc>
        <w:tc>
          <w:tcPr>
            <w:tcW w:w="4219" w:type="dxa"/>
            <w:vAlign w:val="center"/>
          </w:tcPr>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8开，70克双胶，50页/本</w:t>
            </w:r>
          </w:p>
          <w:p>
            <w:pPr>
              <w:widowControl/>
              <w:jc w:val="left"/>
              <w:rPr>
                <w:bCs/>
                <w:kern w:val="0"/>
                <w:szCs w:val="21"/>
              </w:rPr>
            </w:pPr>
            <w:r>
              <w:rPr>
                <w:rFonts w:hint="eastAsia" w:asciiTheme="majorEastAsia" w:hAnsiTheme="majorEastAsia" w:eastAsiaTheme="majorEastAsia" w:cstheme="majorEastAsia"/>
                <w:bCs/>
                <w:kern w:val="0"/>
                <w:szCs w:val="21"/>
              </w:rPr>
              <w:t>打包：10本一手，50本一包</w:t>
            </w:r>
          </w:p>
        </w:tc>
        <w:tc>
          <w:tcPr>
            <w:tcW w:w="567" w:type="dxa"/>
            <w:vAlign w:val="center"/>
          </w:tcPr>
          <w:p>
            <w:pPr>
              <w:widowControl/>
              <w:spacing w:before="124" w:beforeLines="40" w:after="124" w:afterLines="40" w:line="220" w:lineRule="exact"/>
              <w:jc w:val="center"/>
              <w:rPr>
                <w:bCs/>
                <w:kern w:val="0"/>
                <w:szCs w:val="21"/>
                <w:u w:val="single"/>
              </w:rPr>
            </w:pPr>
            <w:r>
              <w:rPr>
                <w:rFonts w:hAnsi="宋体"/>
                <w:bCs/>
                <w:kern w:val="0"/>
                <w:szCs w:val="21"/>
              </w:rPr>
              <w:t>本</w:t>
            </w:r>
          </w:p>
        </w:tc>
        <w:tc>
          <w:tcPr>
            <w:tcW w:w="992" w:type="dxa"/>
            <w:vAlign w:val="center"/>
          </w:tcPr>
          <w:p>
            <w:pPr>
              <w:widowControl/>
              <w:spacing w:before="124" w:beforeLines="40" w:after="124" w:afterLines="40" w:line="220" w:lineRule="exact"/>
              <w:jc w:val="center"/>
              <w:rPr>
                <w:bCs/>
                <w:kern w:val="0"/>
                <w:szCs w:val="21"/>
              </w:rPr>
            </w:pPr>
            <w:r>
              <w:rPr>
                <w:bCs/>
                <w:kern w:val="0"/>
                <w:szCs w:val="21"/>
              </w:rPr>
              <w:t>50000</w:t>
            </w:r>
          </w:p>
        </w:tc>
        <w:tc>
          <w:tcPr>
            <w:tcW w:w="851" w:type="dxa"/>
            <w:vAlign w:val="center"/>
          </w:tcPr>
          <w:p>
            <w:pPr>
              <w:widowControl/>
              <w:spacing w:before="124" w:beforeLines="40" w:after="124" w:afterLines="40" w:line="220" w:lineRule="exact"/>
              <w:jc w:val="center"/>
              <w:rPr>
                <w:bCs/>
                <w:kern w:val="0"/>
                <w:szCs w:val="21"/>
              </w:rPr>
            </w:pPr>
          </w:p>
        </w:tc>
        <w:tc>
          <w:tcPr>
            <w:tcW w:w="850" w:type="dxa"/>
          </w:tcPr>
          <w:p>
            <w:pPr>
              <w:widowControl/>
              <w:spacing w:before="124" w:beforeLines="40" w:after="124" w:afterLines="40" w:line="220" w:lineRule="exact"/>
              <w:jc w:val="center"/>
              <w:rPr>
                <w:bCs/>
                <w:kern w:val="0"/>
                <w:szCs w:val="21"/>
              </w:rPr>
            </w:pPr>
          </w:p>
        </w:tc>
        <w:tc>
          <w:tcPr>
            <w:tcW w:w="1134" w:type="dxa"/>
            <w:vAlign w:val="center"/>
          </w:tcPr>
          <w:p>
            <w:pPr>
              <w:widowControl/>
              <w:spacing w:before="124" w:beforeLines="40" w:after="124" w:afterLines="40" w:line="220" w:lineRule="exact"/>
              <w:jc w:val="center"/>
              <w:rPr>
                <w:bCs/>
                <w:kern w:val="0"/>
                <w:szCs w:val="21"/>
              </w:rPr>
            </w:pPr>
            <w:r>
              <w:rPr>
                <w:rFonts w:hint="eastAsia"/>
                <w:bCs/>
                <w:kern w:val="0"/>
                <w:szCs w:val="21"/>
              </w:rPr>
              <w:t>按50页/本报价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55" w:type="dxa"/>
            <w:vMerge w:val="restart"/>
            <w:vAlign w:val="center"/>
          </w:tcPr>
          <w:p>
            <w:pPr>
              <w:widowControl/>
              <w:spacing w:before="124" w:beforeLines="40" w:after="124" w:afterLines="40" w:line="220" w:lineRule="exact"/>
              <w:jc w:val="center"/>
              <w:rPr>
                <w:bCs/>
                <w:kern w:val="0"/>
                <w:szCs w:val="21"/>
              </w:rPr>
            </w:pPr>
            <w:r>
              <w:rPr>
                <w:rFonts w:hAnsi="宋体"/>
                <w:bCs/>
                <w:kern w:val="0"/>
                <w:szCs w:val="21"/>
              </w:rPr>
              <w:t>实习笔记本</w:t>
            </w:r>
          </w:p>
        </w:tc>
        <w:tc>
          <w:tcPr>
            <w:tcW w:w="4219" w:type="dxa"/>
            <w:vAlign w:val="center"/>
          </w:tcPr>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 xml:space="preserve">大32开， </w:t>
            </w:r>
            <w:r>
              <w:rPr>
                <w:rFonts w:asciiTheme="majorEastAsia" w:hAnsiTheme="majorEastAsia" w:eastAsiaTheme="majorEastAsia" w:cstheme="majorEastAsia"/>
                <w:bCs/>
                <w:kern w:val="0"/>
                <w:szCs w:val="21"/>
              </w:rPr>
              <w:t>14</w:t>
            </w:r>
            <w:r>
              <w:rPr>
                <w:rFonts w:hint="eastAsia" w:asciiTheme="majorEastAsia" w:hAnsiTheme="majorEastAsia" w:eastAsiaTheme="majorEastAsia" w:cstheme="majorEastAsia"/>
                <w:bCs/>
                <w:kern w:val="0"/>
                <w:szCs w:val="21"/>
              </w:rPr>
              <w:t>页/本</w:t>
            </w:r>
          </w:p>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封面80克牛皮纸，内页70克，订左包封</w:t>
            </w:r>
          </w:p>
          <w:p>
            <w:pPr>
              <w:widowControl/>
              <w:jc w:val="left"/>
              <w:rPr>
                <w:bCs/>
                <w:kern w:val="0"/>
                <w:szCs w:val="21"/>
              </w:rPr>
            </w:pPr>
            <w:r>
              <w:rPr>
                <w:rFonts w:hint="eastAsia" w:asciiTheme="majorEastAsia" w:hAnsiTheme="majorEastAsia" w:eastAsiaTheme="majorEastAsia" w:cstheme="majorEastAsia"/>
                <w:bCs/>
                <w:kern w:val="0"/>
                <w:szCs w:val="21"/>
              </w:rPr>
              <w:t>打包：10本一手，200本一包</w:t>
            </w:r>
          </w:p>
        </w:tc>
        <w:tc>
          <w:tcPr>
            <w:tcW w:w="567" w:type="dxa"/>
            <w:vAlign w:val="center"/>
          </w:tcPr>
          <w:p>
            <w:pPr>
              <w:widowControl/>
              <w:spacing w:before="124" w:beforeLines="40" w:after="124" w:afterLines="40" w:line="220" w:lineRule="exact"/>
              <w:jc w:val="center"/>
              <w:rPr>
                <w:bCs/>
                <w:kern w:val="0"/>
                <w:szCs w:val="21"/>
              </w:rPr>
            </w:pPr>
            <w:r>
              <w:rPr>
                <w:rFonts w:hAnsi="宋体"/>
                <w:bCs/>
                <w:kern w:val="0"/>
                <w:szCs w:val="21"/>
              </w:rPr>
              <w:t>本</w:t>
            </w:r>
          </w:p>
        </w:tc>
        <w:tc>
          <w:tcPr>
            <w:tcW w:w="992" w:type="dxa"/>
            <w:vAlign w:val="center"/>
          </w:tcPr>
          <w:p>
            <w:pPr>
              <w:widowControl/>
              <w:spacing w:before="124" w:beforeLines="40" w:after="124" w:afterLines="40" w:line="220" w:lineRule="exact"/>
              <w:jc w:val="center"/>
              <w:rPr>
                <w:bCs/>
                <w:kern w:val="0"/>
                <w:szCs w:val="21"/>
              </w:rPr>
            </w:pPr>
            <w:r>
              <w:rPr>
                <w:rFonts w:hint="eastAsia"/>
                <w:bCs/>
                <w:kern w:val="0"/>
                <w:szCs w:val="21"/>
              </w:rPr>
              <w:t>5</w:t>
            </w:r>
            <w:r>
              <w:rPr>
                <w:bCs/>
                <w:kern w:val="0"/>
                <w:szCs w:val="21"/>
              </w:rPr>
              <w:t>0000</w:t>
            </w:r>
          </w:p>
        </w:tc>
        <w:tc>
          <w:tcPr>
            <w:tcW w:w="851" w:type="dxa"/>
            <w:vAlign w:val="center"/>
          </w:tcPr>
          <w:p>
            <w:pPr>
              <w:widowControl/>
              <w:spacing w:before="124" w:beforeLines="40" w:after="124" w:afterLines="40" w:line="220" w:lineRule="exact"/>
              <w:jc w:val="center"/>
              <w:rPr>
                <w:bCs/>
                <w:kern w:val="0"/>
                <w:szCs w:val="21"/>
              </w:rPr>
            </w:pPr>
          </w:p>
        </w:tc>
        <w:tc>
          <w:tcPr>
            <w:tcW w:w="850" w:type="dxa"/>
          </w:tcPr>
          <w:p>
            <w:pPr>
              <w:widowControl/>
              <w:spacing w:before="124" w:beforeLines="40" w:after="124" w:afterLines="40" w:line="220" w:lineRule="exact"/>
              <w:jc w:val="center"/>
              <w:rPr>
                <w:rFonts w:hAnsi="宋体"/>
                <w:bCs/>
                <w:kern w:val="0"/>
                <w:szCs w:val="21"/>
              </w:rPr>
            </w:pPr>
          </w:p>
        </w:tc>
        <w:tc>
          <w:tcPr>
            <w:tcW w:w="1134" w:type="dxa"/>
            <w:vAlign w:val="center"/>
          </w:tcPr>
          <w:p>
            <w:pPr>
              <w:widowControl/>
              <w:spacing w:before="124" w:beforeLines="40" w:after="124" w:afterLines="40" w:line="220" w:lineRule="exact"/>
              <w:jc w:val="center"/>
              <w:rPr>
                <w:bCs/>
                <w:kern w:val="0"/>
                <w:szCs w:val="21"/>
              </w:rPr>
            </w:pPr>
            <w:r>
              <w:rPr>
                <w:rFonts w:hAnsi="宋体"/>
                <w:bCs/>
                <w:kern w:val="0"/>
                <w:szCs w:val="21"/>
              </w:rPr>
              <w:t>按内页</w:t>
            </w:r>
            <w:r>
              <w:rPr>
                <w:bCs/>
                <w:kern w:val="0"/>
                <w:szCs w:val="21"/>
              </w:rPr>
              <w:t>14</w:t>
            </w:r>
            <w:r>
              <w:rPr>
                <w:rFonts w:hAnsi="宋体"/>
                <w:bCs/>
                <w:kern w:val="0"/>
                <w:szCs w:val="21"/>
              </w:rPr>
              <w:t>页报价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55" w:type="dxa"/>
            <w:vMerge w:val="continue"/>
            <w:vAlign w:val="center"/>
          </w:tcPr>
          <w:p>
            <w:pPr>
              <w:widowControl/>
              <w:spacing w:before="124" w:beforeLines="40" w:after="124" w:afterLines="40" w:line="220" w:lineRule="exact"/>
              <w:jc w:val="center"/>
              <w:rPr>
                <w:rFonts w:hAnsi="宋体"/>
                <w:bCs/>
                <w:kern w:val="0"/>
                <w:szCs w:val="21"/>
              </w:rPr>
            </w:pPr>
          </w:p>
        </w:tc>
        <w:tc>
          <w:tcPr>
            <w:tcW w:w="4219" w:type="dxa"/>
            <w:vAlign w:val="center"/>
          </w:tcPr>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大32开， 28页/本</w:t>
            </w:r>
          </w:p>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封面80克牛皮纸，内页70克，订左包封</w:t>
            </w:r>
          </w:p>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打包：10本一手，200本一包</w:t>
            </w:r>
          </w:p>
        </w:tc>
        <w:tc>
          <w:tcPr>
            <w:tcW w:w="567" w:type="dxa"/>
            <w:vAlign w:val="center"/>
          </w:tcPr>
          <w:p>
            <w:pPr>
              <w:widowControl/>
              <w:spacing w:before="124" w:beforeLines="40" w:after="124" w:afterLines="40" w:line="220" w:lineRule="exact"/>
              <w:jc w:val="center"/>
              <w:rPr>
                <w:bCs/>
                <w:kern w:val="0"/>
                <w:szCs w:val="21"/>
              </w:rPr>
            </w:pPr>
            <w:r>
              <w:rPr>
                <w:rFonts w:hAnsi="宋体"/>
                <w:bCs/>
                <w:kern w:val="0"/>
                <w:szCs w:val="21"/>
              </w:rPr>
              <w:t>本</w:t>
            </w:r>
          </w:p>
        </w:tc>
        <w:tc>
          <w:tcPr>
            <w:tcW w:w="992" w:type="dxa"/>
            <w:vAlign w:val="center"/>
          </w:tcPr>
          <w:p>
            <w:pPr>
              <w:widowControl/>
              <w:spacing w:before="124" w:beforeLines="40" w:after="124" w:afterLines="40" w:line="220" w:lineRule="exact"/>
              <w:jc w:val="center"/>
              <w:rPr>
                <w:bCs/>
                <w:kern w:val="0"/>
                <w:szCs w:val="21"/>
              </w:rPr>
            </w:pPr>
            <w:r>
              <w:rPr>
                <w:rFonts w:hint="eastAsia"/>
                <w:bCs/>
                <w:kern w:val="0"/>
                <w:szCs w:val="21"/>
              </w:rPr>
              <w:t>2</w:t>
            </w:r>
            <w:r>
              <w:rPr>
                <w:bCs/>
                <w:kern w:val="0"/>
                <w:szCs w:val="21"/>
              </w:rPr>
              <w:t>0000</w:t>
            </w:r>
          </w:p>
        </w:tc>
        <w:tc>
          <w:tcPr>
            <w:tcW w:w="851" w:type="dxa"/>
            <w:vAlign w:val="center"/>
          </w:tcPr>
          <w:p>
            <w:pPr>
              <w:widowControl/>
              <w:spacing w:before="124" w:beforeLines="40" w:after="124" w:afterLines="40" w:line="220" w:lineRule="exact"/>
              <w:jc w:val="center"/>
              <w:rPr>
                <w:bCs/>
                <w:kern w:val="0"/>
                <w:szCs w:val="21"/>
              </w:rPr>
            </w:pPr>
          </w:p>
        </w:tc>
        <w:tc>
          <w:tcPr>
            <w:tcW w:w="850" w:type="dxa"/>
          </w:tcPr>
          <w:p>
            <w:pPr>
              <w:widowControl/>
              <w:spacing w:before="124" w:beforeLines="40" w:after="124" w:afterLines="40" w:line="220" w:lineRule="exact"/>
              <w:jc w:val="center"/>
              <w:rPr>
                <w:rFonts w:hAnsi="宋体"/>
                <w:bCs/>
                <w:kern w:val="0"/>
                <w:szCs w:val="21"/>
              </w:rPr>
            </w:pPr>
          </w:p>
        </w:tc>
        <w:tc>
          <w:tcPr>
            <w:tcW w:w="1134" w:type="dxa"/>
            <w:vAlign w:val="center"/>
          </w:tcPr>
          <w:p>
            <w:pPr>
              <w:widowControl/>
              <w:spacing w:before="124" w:beforeLines="40" w:after="124" w:afterLines="40" w:line="220" w:lineRule="exact"/>
              <w:jc w:val="center"/>
              <w:rPr>
                <w:rFonts w:hAnsi="宋体"/>
                <w:bCs/>
                <w:kern w:val="0"/>
                <w:szCs w:val="21"/>
              </w:rPr>
            </w:pPr>
            <w:r>
              <w:rPr>
                <w:rFonts w:hAnsi="宋体"/>
                <w:bCs/>
                <w:kern w:val="0"/>
                <w:szCs w:val="21"/>
              </w:rPr>
              <w:t>按内页</w:t>
            </w:r>
            <w:r>
              <w:rPr>
                <w:bCs/>
                <w:kern w:val="0"/>
                <w:szCs w:val="21"/>
              </w:rPr>
              <w:t>28</w:t>
            </w:r>
            <w:r>
              <w:rPr>
                <w:rFonts w:hAnsi="宋体"/>
                <w:bCs/>
                <w:kern w:val="0"/>
                <w:szCs w:val="21"/>
              </w:rPr>
              <w:t>页报价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vMerge w:val="restart"/>
            <w:vAlign w:val="center"/>
          </w:tcPr>
          <w:p>
            <w:pPr>
              <w:widowControl/>
              <w:spacing w:before="124" w:beforeLines="40" w:after="124" w:afterLines="40" w:line="220" w:lineRule="exact"/>
              <w:jc w:val="center"/>
              <w:rPr>
                <w:rFonts w:hAnsi="宋体"/>
                <w:bCs/>
                <w:kern w:val="0"/>
                <w:szCs w:val="21"/>
              </w:rPr>
            </w:pPr>
            <w:r>
              <w:rPr>
                <w:rFonts w:hAnsi="宋体"/>
                <w:bCs/>
                <w:kern w:val="0"/>
                <w:szCs w:val="21"/>
              </w:rPr>
              <w:t>图纸</w:t>
            </w:r>
          </w:p>
          <w:p>
            <w:pPr>
              <w:widowControl/>
              <w:spacing w:before="124" w:beforeLines="40" w:after="124" w:afterLines="40" w:line="220" w:lineRule="exact"/>
              <w:jc w:val="center"/>
              <w:rPr>
                <w:bCs/>
                <w:kern w:val="0"/>
                <w:szCs w:val="21"/>
              </w:rPr>
            </w:pPr>
            <w:r>
              <w:rPr>
                <w:rFonts w:hint="eastAsia" w:hAnsi="宋体"/>
                <w:bCs/>
                <w:kern w:val="0"/>
                <w:szCs w:val="21"/>
              </w:rPr>
              <w:t>（</w:t>
            </w:r>
            <w:r>
              <w:rPr>
                <w:rFonts w:hAnsi="宋体"/>
                <w:bCs/>
                <w:kern w:val="0"/>
                <w:szCs w:val="21"/>
              </w:rPr>
              <w:t>按图纸规格报价</w:t>
            </w:r>
            <w:r>
              <w:rPr>
                <w:rFonts w:hint="eastAsia" w:hAnsi="宋体"/>
                <w:bCs/>
                <w:kern w:val="0"/>
                <w:szCs w:val="21"/>
              </w:rPr>
              <w:t>）</w:t>
            </w:r>
          </w:p>
        </w:tc>
        <w:tc>
          <w:tcPr>
            <w:tcW w:w="4219" w:type="dxa"/>
            <w:vAlign w:val="center"/>
          </w:tcPr>
          <w:p>
            <w:pPr>
              <w:widowControl/>
              <w:jc w:val="left"/>
              <w:rPr>
                <w:bCs/>
                <w:kern w:val="0"/>
                <w:szCs w:val="21"/>
              </w:rPr>
            </w:pPr>
            <w:r>
              <w:rPr>
                <w:rFonts w:hint="eastAsia" w:asciiTheme="majorEastAsia" w:hAnsiTheme="majorEastAsia" w:eastAsiaTheme="majorEastAsia" w:cstheme="majorEastAsia"/>
                <w:bCs/>
                <w:kern w:val="0"/>
                <w:szCs w:val="21"/>
              </w:rPr>
              <w:t>看样品：</w:t>
            </w:r>
            <w:r>
              <w:rPr>
                <w:bCs/>
                <w:kern w:val="0"/>
                <w:szCs w:val="21"/>
              </w:rPr>
              <w:t xml:space="preserve">A1 </w:t>
            </w:r>
            <w:r>
              <w:rPr>
                <w:rFonts w:hint="eastAsia" w:asciiTheme="majorEastAsia" w:hAnsiTheme="majorEastAsia" w:eastAsiaTheme="majorEastAsia" w:cstheme="majorEastAsia"/>
                <w:bCs/>
                <w:kern w:val="0"/>
                <w:szCs w:val="21"/>
              </w:rPr>
              <w:t>打包：50张一手，500张一包</w:t>
            </w:r>
          </w:p>
        </w:tc>
        <w:tc>
          <w:tcPr>
            <w:tcW w:w="567" w:type="dxa"/>
            <w:vAlign w:val="center"/>
          </w:tcPr>
          <w:p>
            <w:pPr>
              <w:widowControl/>
              <w:spacing w:before="124" w:beforeLines="40" w:after="124" w:afterLines="40" w:line="220" w:lineRule="exact"/>
              <w:jc w:val="center"/>
              <w:rPr>
                <w:bCs/>
                <w:kern w:val="0"/>
                <w:szCs w:val="21"/>
              </w:rPr>
            </w:pPr>
            <w:r>
              <w:rPr>
                <w:rFonts w:hAnsi="宋体"/>
                <w:bCs/>
                <w:kern w:val="0"/>
                <w:szCs w:val="21"/>
              </w:rPr>
              <w:t>张</w:t>
            </w:r>
          </w:p>
        </w:tc>
        <w:tc>
          <w:tcPr>
            <w:tcW w:w="992" w:type="dxa"/>
            <w:vAlign w:val="center"/>
          </w:tcPr>
          <w:p>
            <w:pPr>
              <w:widowControl/>
              <w:spacing w:before="124" w:beforeLines="40" w:after="124" w:afterLines="40" w:line="220" w:lineRule="exact"/>
              <w:jc w:val="center"/>
              <w:rPr>
                <w:bCs/>
                <w:kern w:val="0"/>
                <w:szCs w:val="21"/>
              </w:rPr>
            </w:pPr>
            <w:r>
              <w:rPr>
                <w:rFonts w:hint="eastAsia"/>
                <w:bCs/>
                <w:kern w:val="0"/>
                <w:szCs w:val="21"/>
              </w:rPr>
              <w:t>2000</w:t>
            </w:r>
          </w:p>
        </w:tc>
        <w:tc>
          <w:tcPr>
            <w:tcW w:w="851" w:type="dxa"/>
            <w:vAlign w:val="center"/>
          </w:tcPr>
          <w:p>
            <w:pPr>
              <w:widowControl/>
              <w:spacing w:before="124" w:beforeLines="40" w:after="124" w:afterLines="40" w:line="220" w:lineRule="exact"/>
              <w:jc w:val="center"/>
              <w:rPr>
                <w:bCs/>
                <w:kern w:val="0"/>
                <w:szCs w:val="21"/>
                <w:u w:val="single"/>
              </w:rPr>
            </w:pPr>
            <w:r>
              <w:rPr>
                <w:rFonts w:hint="eastAsia" w:ascii="宋体" w:hAnsi="宋体" w:cs="宋体"/>
                <w:bCs/>
                <w:kern w:val="0"/>
                <w:szCs w:val="21"/>
              </w:rPr>
              <w:t xml:space="preserve">  </w:t>
            </w:r>
          </w:p>
        </w:tc>
        <w:tc>
          <w:tcPr>
            <w:tcW w:w="850" w:type="dxa"/>
          </w:tcPr>
          <w:p>
            <w:pPr>
              <w:widowControl/>
              <w:spacing w:before="124" w:beforeLines="40" w:after="124" w:afterLines="40" w:line="220" w:lineRule="exact"/>
              <w:jc w:val="center"/>
              <w:rPr>
                <w:bCs/>
                <w:kern w:val="0"/>
                <w:szCs w:val="21"/>
              </w:rPr>
            </w:pPr>
          </w:p>
        </w:tc>
        <w:tc>
          <w:tcPr>
            <w:tcW w:w="1134" w:type="dxa"/>
            <w:vAlign w:val="center"/>
          </w:tcPr>
          <w:p>
            <w:pPr>
              <w:widowControl/>
              <w:spacing w:before="124" w:beforeLines="40" w:after="124" w:afterLines="40" w:line="22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55" w:type="dxa"/>
            <w:vMerge w:val="continue"/>
            <w:vAlign w:val="center"/>
          </w:tcPr>
          <w:p>
            <w:pPr>
              <w:widowControl/>
              <w:spacing w:before="124" w:beforeLines="40" w:after="124" w:afterLines="40" w:line="220" w:lineRule="exact"/>
              <w:jc w:val="center"/>
              <w:rPr>
                <w:rFonts w:hAnsi="宋体"/>
                <w:bCs/>
                <w:kern w:val="0"/>
                <w:szCs w:val="21"/>
              </w:rPr>
            </w:pPr>
          </w:p>
        </w:tc>
        <w:tc>
          <w:tcPr>
            <w:tcW w:w="4219" w:type="dxa"/>
            <w:vAlign w:val="center"/>
          </w:tcPr>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看样品：</w:t>
            </w:r>
            <w:r>
              <w:rPr>
                <w:bCs/>
                <w:kern w:val="0"/>
                <w:szCs w:val="21"/>
              </w:rPr>
              <w:t xml:space="preserve">A2 </w:t>
            </w:r>
            <w:r>
              <w:rPr>
                <w:rFonts w:hint="eastAsia" w:asciiTheme="majorEastAsia" w:hAnsiTheme="majorEastAsia" w:eastAsiaTheme="majorEastAsia" w:cstheme="majorEastAsia"/>
                <w:bCs/>
                <w:kern w:val="0"/>
                <w:szCs w:val="21"/>
              </w:rPr>
              <w:t>打包：50张一手，500张一包</w:t>
            </w:r>
          </w:p>
        </w:tc>
        <w:tc>
          <w:tcPr>
            <w:tcW w:w="567" w:type="dxa"/>
            <w:vAlign w:val="center"/>
          </w:tcPr>
          <w:p>
            <w:pPr>
              <w:widowControl/>
              <w:spacing w:before="124" w:beforeLines="40" w:after="124" w:afterLines="40" w:line="220" w:lineRule="exact"/>
              <w:jc w:val="center"/>
              <w:rPr>
                <w:bCs/>
                <w:kern w:val="0"/>
                <w:szCs w:val="21"/>
              </w:rPr>
            </w:pPr>
            <w:r>
              <w:rPr>
                <w:rFonts w:hAnsi="宋体"/>
                <w:bCs/>
                <w:kern w:val="0"/>
                <w:szCs w:val="21"/>
              </w:rPr>
              <w:t>张</w:t>
            </w:r>
          </w:p>
        </w:tc>
        <w:tc>
          <w:tcPr>
            <w:tcW w:w="992" w:type="dxa"/>
            <w:vAlign w:val="center"/>
          </w:tcPr>
          <w:p>
            <w:pPr>
              <w:widowControl/>
              <w:spacing w:before="124" w:beforeLines="40" w:after="124" w:afterLines="40" w:line="220" w:lineRule="exact"/>
              <w:jc w:val="center"/>
              <w:rPr>
                <w:bCs/>
                <w:kern w:val="0"/>
                <w:szCs w:val="21"/>
              </w:rPr>
            </w:pPr>
            <w:r>
              <w:rPr>
                <w:rFonts w:hint="eastAsia"/>
                <w:bCs/>
                <w:kern w:val="0"/>
                <w:szCs w:val="21"/>
              </w:rPr>
              <w:t>1</w:t>
            </w:r>
            <w:r>
              <w:rPr>
                <w:bCs/>
                <w:kern w:val="0"/>
                <w:szCs w:val="21"/>
              </w:rPr>
              <w:t>0000</w:t>
            </w:r>
          </w:p>
        </w:tc>
        <w:tc>
          <w:tcPr>
            <w:tcW w:w="851" w:type="dxa"/>
            <w:vAlign w:val="center"/>
          </w:tcPr>
          <w:p>
            <w:pPr>
              <w:widowControl/>
              <w:spacing w:before="124" w:beforeLines="40" w:after="124" w:afterLines="40" w:line="220" w:lineRule="exact"/>
              <w:jc w:val="center"/>
              <w:rPr>
                <w:bCs/>
                <w:kern w:val="0"/>
                <w:szCs w:val="21"/>
              </w:rPr>
            </w:pPr>
          </w:p>
        </w:tc>
        <w:tc>
          <w:tcPr>
            <w:tcW w:w="850" w:type="dxa"/>
          </w:tcPr>
          <w:p>
            <w:pPr>
              <w:widowControl/>
              <w:spacing w:before="124" w:beforeLines="40" w:after="124" w:afterLines="40" w:line="220" w:lineRule="exact"/>
              <w:jc w:val="center"/>
              <w:rPr>
                <w:rFonts w:hAnsi="宋体"/>
                <w:bCs/>
                <w:kern w:val="0"/>
                <w:szCs w:val="21"/>
              </w:rPr>
            </w:pPr>
          </w:p>
        </w:tc>
        <w:tc>
          <w:tcPr>
            <w:tcW w:w="1134" w:type="dxa"/>
            <w:vAlign w:val="center"/>
          </w:tcPr>
          <w:p>
            <w:pPr>
              <w:widowControl/>
              <w:spacing w:before="124" w:beforeLines="40" w:after="124" w:afterLines="40" w:line="220" w:lineRule="exact"/>
              <w:jc w:val="center"/>
              <w:rPr>
                <w:rFonts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55" w:type="dxa"/>
            <w:vMerge w:val="continue"/>
            <w:vAlign w:val="center"/>
          </w:tcPr>
          <w:p>
            <w:pPr>
              <w:widowControl/>
              <w:spacing w:before="124" w:beforeLines="40" w:after="124" w:afterLines="40" w:line="220" w:lineRule="exact"/>
              <w:jc w:val="center"/>
              <w:rPr>
                <w:rFonts w:hAnsi="宋体"/>
                <w:bCs/>
                <w:kern w:val="0"/>
                <w:szCs w:val="21"/>
              </w:rPr>
            </w:pPr>
          </w:p>
        </w:tc>
        <w:tc>
          <w:tcPr>
            <w:tcW w:w="4219" w:type="dxa"/>
            <w:vAlign w:val="center"/>
          </w:tcPr>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看样品：</w:t>
            </w:r>
            <w:r>
              <w:rPr>
                <w:bCs/>
                <w:kern w:val="0"/>
                <w:szCs w:val="21"/>
              </w:rPr>
              <w:t xml:space="preserve">A3 </w:t>
            </w:r>
            <w:r>
              <w:rPr>
                <w:rFonts w:hint="eastAsia" w:asciiTheme="majorEastAsia" w:hAnsiTheme="majorEastAsia" w:eastAsiaTheme="majorEastAsia" w:cstheme="majorEastAsia"/>
                <w:bCs/>
                <w:kern w:val="0"/>
                <w:szCs w:val="21"/>
              </w:rPr>
              <w:t>打包：50张一手，500张一包</w:t>
            </w:r>
          </w:p>
        </w:tc>
        <w:tc>
          <w:tcPr>
            <w:tcW w:w="567" w:type="dxa"/>
            <w:vAlign w:val="center"/>
          </w:tcPr>
          <w:p>
            <w:pPr>
              <w:widowControl/>
              <w:spacing w:before="124" w:beforeLines="40" w:after="124" w:afterLines="40" w:line="220" w:lineRule="exact"/>
              <w:jc w:val="center"/>
              <w:rPr>
                <w:bCs/>
                <w:kern w:val="0"/>
                <w:szCs w:val="21"/>
              </w:rPr>
            </w:pPr>
            <w:r>
              <w:rPr>
                <w:rFonts w:hAnsi="宋体"/>
                <w:bCs/>
                <w:kern w:val="0"/>
                <w:szCs w:val="21"/>
              </w:rPr>
              <w:t>张</w:t>
            </w:r>
          </w:p>
        </w:tc>
        <w:tc>
          <w:tcPr>
            <w:tcW w:w="992" w:type="dxa"/>
            <w:vAlign w:val="center"/>
          </w:tcPr>
          <w:p>
            <w:pPr>
              <w:widowControl/>
              <w:spacing w:before="124" w:beforeLines="40" w:after="124" w:afterLines="40" w:line="220" w:lineRule="exact"/>
              <w:jc w:val="center"/>
              <w:rPr>
                <w:bCs/>
                <w:kern w:val="0"/>
                <w:szCs w:val="21"/>
              </w:rPr>
            </w:pPr>
            <w:r>
              <w:rPr>
                <w:rFonts w:hint="eastAsia"/>
                <w:bCs/>
                <w:kern w:val="0"/>
                <w:szCs w:val="21"/>
              </w:rPr>
              <w:t>3</w:t>
            </w:r>
            <w:r>
              <w:rPr>
                <w:bCs/>
                <w:kern w:val="0"/>
                <w:szCs w:val="21"/>
              </w:rPr>
              <w:t>0000</w:t>
            </w:r>
          </w:p>
        </w:tc>
        <w:tc>
          <w:tcPr>
            <w:tcW w:w="851" w:type="dxa"/>
            <w:vAlign w:val="center"/>
          </w:tcPr>
          <w:p>
            <w:pPr>
              <w:widowControl/>
              <w:spacing w:before="124" w:beforeLines="40" w:after="124" w:afterLines="40" w:line="220" w:lineRule="exact"/>
              <w:jc w:val="center"/>
              <w:rPr>
                <w:bCs/>
                <w:kern w:val="0"/>
                <w:szCs w:val="21"/>
              </w:rPr>
            </w:pPr>
          </w:p>
        </w:tc>
        <w:tc>
          <w:tcPr>
            <w:tcW w:w="850" w:type="dxa"/>
          </w:tcPr>
          <w:p>
            <w:pPr>
              <w:widowControl/>
              <w:spacing w:before="124" w:beforeLines="40" w:after="124" w:afterLines="40" w:line="220" w:lineRule="exact"/>
              <w:jc w:val="center"/>
              <w:rPr>
                <w:rFonts w:hAnsi="宋体"/>
                <w:bCs/>
                <w:kern w:val="0"/>
                <w:szCs w:val="21"/>
              </w:rPr>
            </w:pPr>
          </w:p>
        </w:tc>
        <w:tc>
          <w:tcPr>
            <w:tcW w:w="1134" w:type="dxa"/>
            <w:vAlign w:val="center"/>
          </w:tcPr>
          <w:p>
            <w:pPr>
              <w:widowControl/>
              <w:spacing w:before="124" w:beforeLines="40" w:after="124" w:afterLines="40" w:line="220" w:lineRule="exact"/>
              <w:jc w:val="center"/>
              <w:rPr>
                <w:rFonts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55" w:type="dxa"/>
            <w:vMerge w:val="continue"/>
            <w:vAlign w:val="center"/>
          </w:tcPr>
          <w:p>
            <w:pPr>
              <w:widowControl/>
              <w:spacing w:before="124" w:beforeLines="40" w:after="124" w:afterLines="40" w:line="220" w:lineRule="exact"/>
              <w:jc w:val="center"/>
              <w:rPr>
                <w:rFonts w:hAnsi="宋体"/>
                <w:bCs/>
                <w:kern w:val="0"/>
                <w:szCs w:val="21"/>
              </w:rPr>
            </w:pPr>
          </w:p>
        </w:tc>
        <w:tc>
          <w:tcPr>
            <w:tcW w:w="4219" w:type="dxa"/>
            <w:vAlign w:val="center"/>
          </w:tcPr>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看样品：</w:t>
            </w:r>
            <w:r>
              <w:rPr>
                <w:bCs/>
                <w:kern w:val="0"/>
                <w:szCs w:val="21"/>
              </w:rPr>
              <w:t xml:space="preserve">A4 </w:t>
            </w:r>
            <w:r>
              <w:rPr>
                <w:rFonts w:hint="eastAsia" w:asciiTheme="majorEastAsia" w:hAnsiTheme="majorEastAsia" w:eastAsiaTheme="majorEastAsia" w:cstheme="majorEastAsia"/>
                <w:bCs/>
                <w:kern w:val="0"/>
                <w:szCs w:val="21"/>
              </w:rPr>
              <w:t>打包：50张一手，500张一包</w:t>
            </w:r>
          </w:p>
        </w:tc>
        <w:tc>
          <w:tcPr>
            <w:tcW w:w="567" w:type="dxa"/>
            <w:vAlign w:val="center"/>
          </w:tcPr>
          <w:p>
            <w:pPr>
              <w:widowControl/>
              <w:spacing w:before="124" w:beforeLines="40" w:after="124" w:afterLines="40" w:line="220" w:lineRule="exact"/>
              <w:jc w:val="center"/>
              <w:rPr>
                <w:bCs/>
                <w:kern w:val="0"/>
                <w:szCs w:val="21"/>
              </w:rPr>
            </w:pPr>
            <w:r>
              <w:rPr>
                <w:rFonts w:hAnsi="宋体"/>
                <w:bCs/>
                <w:kern w:val="0"/>
                <w:szCs w:val="21"/>
              </w:rPr>
              <w:t>张</w:t>
            </w:r>
          </w:p>
        </w:tc>
        <w:tc>
          <w:tcPr>
            <w:tcW w:w="992" w:type="dxa"/>
            <w:vAlign w:val="center"/>
          </w:tcPr>
          <w:p>
            <w:pPr>
              <w:widowControl/>
              <w:spacing w:before="124" w:beforeLines="40" w:after="124" w:afterLines="40" w:line="220" w:lineRule="exact"/>
              <w:jc w:val="center"/>
              <w:rPr>
                <w:bCs/>
                <w:kern w:val="0"/>
                <w:szCs w:val="21"/>
              </w:rPr>
            </w:pPr>
            <w:r>
              <w:rPr>
                <w:rFonts w:hint="eastAsia"/>
                <w:bCs/>
                <w:kern w:val="0"/>
                <w:szCs w:val="21"/>
              </w:rPr>
              <w:t>5</w:t>
            </w:r>
            <w:r>
              <w:rPr>
                <w:bCs/>
                <w:kern w:val="0"/>
                <w:szCs w:val="21"/>
              </w:rPr>
              <w:t>0000</w:t>
            </w:r>
          </w:p>
        </w:tc>
        <w:tc>
          <w:tcPr>
            <w:tcW w:w="851" w:type="dxa"/>
            <w:vAlign w:val="center"/>
          </w:tcPr>
          <w:p>
            <w:pPr>
              <w:widowControl/>
              <w:spacing w:before="124" w:beforeLines="40" w:after="124" w:afterLines="40" w:line="220" w:lineRule="exact"/>
              <w:jc w:val="center"/>
              <w:rPr>
                <w:bCs/>
                <w:kern w:val="0"/>
                <w:szCs w:val="21"/>
              </w:rPr>
            </w:pPr>
          </w:p>
        </w:tc>
        <w:tc>
          <w:tcPr>
            <w:tcW w:w="850" w:type="dxa"/>
          </w:tcPr>
          <w:p>
            <w:pPr>
              <w:widowControl/>
              <w:spacing w:before="124" w:beforeLines="40" w:after="124" w:afterLines="40" w:line="220" w:lineRule="exact"/>
              <w:jc w:val="center"/>
              <w:rPr>
                <w:rFonts w:hAnsi="宋体"/>
                <w:bCs/>
                <w:kern w:val="0"/>
                <w:szCs w:val="21"/>
              </w:rPr>
            </w:pPr>
          </w:p>
        </w:tc>
        <w:tc>
          <w:tcPr>
            <w:tcW w:w="1134" w:type="dxa"/>
            <w:vAlign w:val="center"/>
          </w:tcPr>
          <w:p>
            <w:pPr>
              <w:widowControl/>
              <w:spacing w:before="124" w:beforeLines="40" w:after="124" w:afterLines="40" w:line="220" w:lineRule="exact"/>
              <w:jc w:val="center"/>
              <w:rPr>
                <w:rFonts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055" w:type="dxa"/>
            <w:vAlign w:val="center"/>
          </w:tcPr>
          <w:p>
            <w:pPr>
              <w:widowControl/>
              <w:spacing w:before="124" w:beforeLines="40" w:after="124" w:afterLines="40" w:line="375" w:lineRule="atLeast"/>
              <w:jc w:val="center"/>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作业本</w:t>
            </w:r>
          </w:p>
        </w:tc>
        <w:tc>
          <w:tcPr>
            <w:tcW w:w="4219" w:type="dxa"/>
            <w:vAlign w:val="center"/>
          </w:tcPr>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16开本，横格28行，每本内芯16页，70克书写纸双面印刷，封面封底用100克胶版纸（封面、格式见样品，也可自行设计）</w:t>
            </w:r>
          </w:p>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打包：10本一手，200本一包</w:t>
            </w:r>
          </w:p>
        </w:tc>
        <w:tc>
          <w:tcPr>
            <w:tcW w:w="567" w:type="dxa"/>
            <w:vAlign w:val="center"/>
          </w:tcPr>
          <w:p>
            <w:pPr>
              <w:widowControl/>
              <w:spacing w:before="124" w:beforeLines="40" w:after="124" w:afterLines="40" w:line="220" w:lineRule="exact"/>
              <w:jc w:val="center"/>
              <w:rPr>
                <w:bCs/>
                <w:kern w:val="0"/>
                <w:szCs w:val="21"/>
                <w:u w:val="single"/>
              </w:rPr>
            </w:pPr>
            <w:r>
              <w:rPr>
                <w:rFonts w:hint="eastAsia" w:asciiTheme="majorEastAsia" w:hAnsiTheme="majorEastAsia" w:eastAsiaTheme="majorEastAsia" w:cstheme="majorEastAsia"/>
                <w:bCs/>
                <w:kern w:val="0"/>
                <w:szCs w:val="21"/>
              </w:rPr>
              <w:t>本</w:t>
            </w:r>
          </w:p>
        </w:tc>
        <w:tc>
          <w:tcPr>
            <w:tcW w:w="992" w:type="dxa"/>
            <w:vAlign w:val="center"/>
          </w:tcPr>
          <w:p>
            <w:pPr>
              <w:widowControl/>
              <w:spacing w:before="124" w:beforeLines="40" w:after="124" w:afterLines="40" w:line="220" w:lineRule="exact"/>
              <w:jc w:val="center"/>
              <w:rPr>
                <w:bCs/>
                <w:kern w:val="0"/>
                <w:szCs w:val="21"/>
                <w:u w:val="single"/>
              </w:rPr>
            </w:pPr>
            <w:r>
              <w:rPr>
                <w:rFonts w:hint="eastAsia" w:ascii="仿宋" w:hAnsi="仿宋" w:eastAsia="仿宋" w:cs="仿宋"/>
                <w:bCs/>
                <w:kern w:val="0"/>
                <w:sz w:val="24"/>
              </w:rPr>
              <w:t>150000</w:t>
            </w:r>
          </w:p>
        </w:tc>
        <w:tc>
          <w:tcPr>
            <w:tcW w:w="851" w:type="dxa"/>
            <w:vAlign w:val="center"/>
          </w:tcPr>
          <w:p>
            <w:pPr>
              <w:widowControl/>
              <w:spacing w:before="124" w:beforeLines="40" w:after="124" w:afterLines="40" w:line="220" w:lineRule="exact"/>
              <w:jc w:val="center"/>
              <w:rPr>
                <w:rFonts w:ascii="宋体" w:hAnsi="宋体" w:cs="宋体"/>
                <w:bCs/>
                <w:kern w:val="0"/>
                <w:szCs w:val="21"/>
              </w:rPr>
            </w:pPr>
          </w:p>
        </w:tc>
        <w:tc>
          <w:tcPr>
            <w:tcW w:w="850" w:type="dxa"/>
          </w:tcPr>
          <w:p>
            <w:pPr>
              <w:widowControl/>
              <w:spacing w:before="124" w:beforeLines="40" w:after="124" w:afterLines="40" w:line="220" w:lineRule="exact"/>
              <w:jc w:val="center"/>
              <w:rPr>
                <w:rFonts w:hAnsi="宋体"/>
                <w:bCs/>
                <w:kern w:val="0"/>
                <w:szCs w:val="21"/>
              </w:rPr>
            </w:pPr>
          </w:p>
        </w:tc>
        <w:tc>
          <w:tcPr>
            <w:tcW w:w="1134" w:type="dxa"/>
            <w:vAlign w:val="center"/>
          </w:tcPr>
          <w:p>
            <w:pPr>
              <w:widowControl/>
              <w:spacing w:before="124" w:beforeLines="40" w:after="124" w:afterLines="40" w:line="220" w:lineRule="exact"/>
              <w:jc w:val="center"/>
              <w:rPr>
                <w:rFonts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55" w:type="dxa"/>
            <w:vAlign w:val="center"/>
          </w:tcPr>
          <w:p>
            <w:pPr>
              <w:widowControl/>
              <w:spacing w:before="124" w:beforeLines="40" w:after="124" w:afterLines="40" w:line="375" w:lineRule="atLeast"/>
              <w:jc w:val="center"/>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英语本</w:t>
            </w:r>
          </w:p>
        </w:tc>
        <w:tc>
          <w:tcPr>
            <w:tcW w:w="4219" w:type="dxa"/>
            <w:vAlign w:val="center"/>
          </w:tcPr>
          <w:p>
            <w:pPr>
              <w:widowControl/>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16开本，英语格15行，每本内芯16页，70克书写纸双面印刷，封面封底用100克胶版纸（封面、格式见样品，也可自行设计）打包：10本一手，100本一包</w:t>
            </w:r>
          </w:p>
        </w:tc>
        <w:tc>
          <w:tcPr>
            <w:tcW w:w="567" w:type="dxa"/>
            <w:vAlign w:val="center"/>
          </w:tcPr>
          <w:p>
            <w:pPr>
              <w:widowControl/>
              <w:spacing w:before="124" w:beforeLines="40" w:after="124" w:afterLines="40" w:line="220" w:lineRule="exact"/>
              <w:jc w:val="center"/>
              <w:rPr>
                <w:bCs/>
                <w:kern w:val="0"/>
                <w:szCs w:val="21"/>
                <w:u w:val="single"/>
              </w:rPr>
            </w:pPr>
            <w:r>
              <w:rPr>
                <w:rFonts w:hint="eastAsia" w:asciiTheme="majorEastAsia" w:hAnsiTheme="majorEastAsia" w:eastAsiaTheme="majorEastAsia" w:cstheme="majorEastAsia"/>
                <w:bCs/>
                <w:kern w:val="0"/>
                <w:szCs w:val="21"/>
              </w:rPr>
              <w:t>本</w:t>
            </w:r>
          </w:p>
        </w:tc>
        <w:tc>
          <w:tcPr>
            <w:tcW w:w="992" w:type="dxa"/>
            <w:vAlign w:val="center"/>
          </w:tcPr>
          <w:p>
            <w:pPr>
              <w:widowControl/>
              <w:spacing w:before="124" w:beforeLines="40" w:after="124" w:afterLines="40" w:line="220" w:lineRule="exact"/>
              <w:jc w:val="center"/>
              <w:rPr>
                <w:bCs/>
                <w:kern w:val="0"/>
                <w:szCs w:val="21"/>
                <w:u w:val="single"/>
              </w:rPr>
            </w:pPr>
            <w:r>
              <w:rPr>
                <w:rFonts w:hint="eastAsia"/>
                <w:bCs/>
                <w:kern w:val="0"/>
                <w:szCs w:val="21"/>
              </w:rPr>
              <w:t>20000</w:t>
            </w:r>
          </w:p>
        </w:tc>
        <w:tc>
          <w:tcPr>
            <w:tcW w:w="851" w:type="dxa"/>
            <w:vAlign w:val="center"/>
          </w:tcPr>
          <w:p>
            <w:pPr>
              <w:widowControl/>
              <w:spacing w:before="124" w:beforeLines="40" w:after="124" w:afterLines="40" w:line="220" w:lineRule="exact"/>
              <w:jc w:val="center"/>
              <w:rPr>
                <w:rFonts w:ascii="宋体" w:hAnsi="宋体" w:cs="宋体"/>
                <w:bCs/>
                <w:kern w:val="0"/>
                <w:szCs w:val="21"/>
              </w:rPr>
            </w:pPr>
          </w:p>
        </w:tc>
        <w:tc>
          <w:tcPr>
            <w:tcW w:w="850" w:type="dxa"/>
          </w:tcPr>
          <w:p>
            <w:pPr>
              <w:widowControl/>
              <w:spacing w:before="124" w:beforeLines="40" w:after="124" w:afterLines="40" w:line="220" w:lineRule="exact"/>
              <w:jc w:val="center"/>
              <w:rPr>
                <w:rFonts w:hAnsi="宋体"/>
                <w:bCs/>
                <w:kern w:val="0"/>
                <w:szCs w:val="21"/>
              </w:rPr>
            </w:pPr>
          </w:p>
        </w:tc>
        <w:tc>
          <w:tcPr>
            <w:tcW w:w="1134" w:type="dxa"/>
            <w:vAlign w:val="center"/>
          </w:tcPr>
          <w:p>
            <w:pPr>
              <w:widowControl/>
              <w:spacing w:before="124" w:beforeLines="40" w:after="124" w:afterLines="40" w:line="220" w:lineRule="exact"/>
              <w:jc w:val="center"/>
              <w:rPr>
                <w:rFonts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68" w:type="dxa"/>
            <w:gridSpan w:val="7"/>
            <w:vAlign w:val="center"/>
          </w:tcPr>
          <w:p>
            <w:pPr>
              <w:widowControl/>
              <w:spacing w:before="124" w:beforeLines="40" w:after="124" w:afterLines="40" w:line="220" w:lineRule="exact"/>
              <w:jc w:val="left"/>
              <w:rPr>
                <w:rFonts w:hAnsi="宋体"/>
                <w:bCs/>
                <w:kern w:val="0"/>
                <w:szCs w:val="21"/>
                <w:u w:val="single"/>
              </w:rPr>
            </w:pPr>
            <w:r>
              <w:rPr>
                <w:rFonts w:hint="eastAsia" w:hAnsi="宋体"/>
                <w:bCs/>
                <w:kern w:val="0"/>
                <w:szCs w:val="21"/>
              </w:rPr>
              <w:t>总价合计：（大写）</w:t>
            </w:r>
            <w:r>
              <w:rPr>
                <w:rFonts w:hint="eastAsia" w:hAnsi="宋体"/>
                <w:bCs/>
                <w:kern w:val="0"/>
                <w:szCs w:val="21"/>
                <w:u w:val="single"/>
              </w:rPr>
              <w:t xml:space="preserve"> </w:t>
            </w:r>
            <w:r>
              <w:rPr>
                <w:rFonts w:hAnsi="宋体"/>
                <w:bCs/>
                <w:kern w:val="0"/>
                <w:szCs w:val="21"/>
                <w:u w:val="single"/>
              </w:rPr>
              <w:t xml:space="preserve">                   </w:t>
            </w:r>
            <w:r>
              <w:rPr>
                <w:rFonts w:hint="eastAsia" w:hAnsi="宋体"/>
                <w:bCs/>
                <w:kern w:val="0"/>
                <w:szCs w:val="21"/>
              </w:rPr>
              <w:t xml:space="preserve">元 </w:t>
            </w:r>
            <w:r>
              <w:rPr>
                <w:rFonts w:hAnsi="宋体"/>
                <w:bCs/>
                <w:kern w:val="0"/>
                <w:szCs w:val="21"/>
              </w:rPr>
              <w:t xml:space="preserve">   </w:t>
            </w:r>
            <w:r>
              <w:rPr>
                <w:rFonts w:hint="eastAsia" w:hAnsi="宋体"/>
                <w:bCs/>
                <w:kern w:val="0"/>
                <w:szCs w:val="21"/>
              </w:rPr>
              <w:t>（小写：</w:t>
            </w:r>
            <w:r>
              <w:rPr>
                <w:rFonts w:hint="eastAsia" w:hAnsi="宋体"/>
                <w:bCs/>
                <w:kern w:val="0"/>
                <w:szCs w:val="21"/>
                <w:u w:val="single"/>
              </w:rPr>
              <w:t>¥</w:t>
            </w:r>
            <w:r>
              <w:rPr>
                <w:rFonts w:hAnsi="宋体"/>
                <w:bCs/>
                <w:kern w:val="0"/>
                <w:szCs w:val="21"/>
                <w:u w:val="single"/>
              </w:rPr>
              <w:t xml:space="preserve">            </w:t>
            </w:r>
            <w:r>
              <w:rPr>
                <w:rFonts w:hint="eastAsia" w:hAnsi="宋体"/>
                <w:bCs/>
                <w:kern w:val="0"/>
                <w:szCs w:val="21"/>
              </w:rPr>
              <w:t>）</w:t>
            </w:r>
          </w:p>
        </w:tc>
      </w:tr>
      <w:bookmarkEnd w:id="4"/>
    </w:tbl>
    <w:p>
      <w:pPr>
        <w:widowControl/>
        <w:spacing w:line="380" w:lineRule="exact"/>
        <w:jc w:val="left"/>
        <w:rPr>
          <w:rFonts w:ascii="宋体" w:hAnsi="宋体" w:cs="宋体"/>
          <w:kern w:val="0"/>
          <w:sz w:val="24"/>
        </w:rPr>
      </w:pPr>
      <w:r>
        <w:rPr>
          <w:rFonts w:hint="eastAsia" w:ascii="宋体" w:hAnsi="宋体" w:cs="宋体"/>
          <w:kern w:val="0"/>
          <w:sz w:val="24"/>
        </w:rPr>
        <w:t>注：</w:t>
      </w:r>
      <w:r>
        <w:rPr>
          <w:rFonts w:hint="eastAsia" w:ascii="宋体" w:hAnsi="宋体" w:cs="宋体"/>
          <w:color w:val="010005"/>
          <w:kern w:val="0"/>
          <w:sz w:val="24"/>
        </w:rPr>
        <w:t>采购数量为年度测算估值，以实际订货量为准</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2"/>
        <w:tabs>
          <w:tab w:val="left" w:pos="3420"/>
        </w:tabs>
        <w:rPr>
          <w:rFonts w:ascii="宋体" w:hAnsi="宋体"/>
          <w:bCs/>
          <w:szCs w:val="21"/>
        </w:rPr>
      </w:pPr>
    </w:p>
    <w:p>
      <w:pPr>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pStyle w:val="3"/>
        <w:ind w:firstLine="480"/>
        <w:rPr>
          <w:rFonts w:ascii="宋体" w:hAnsi="宋体"/>
          <w:bCs/>
          <w:color w:val="000000"/>
          <w:szCs w:val="21"/>
        </w:rPr>
      </w:pPr>
    </w:p>
    <w:p>
      <w:pPr>
        <w:pStyle w:val="4"/>
      </w:pPr>
    </w:p>
    <w:p>
      <w:pPr>
        <w:pStyle w:val="4"/>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3"/>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4"/>
        <w:rPr>
          <w:rFonts w:hAnsi="黑体" w:cs="黑体"/>
          <w:b/>
          <w:color w:val="000000"/>
          <w:sz w:val="24"/>
        </w:rPr>
      </w:pPr>
    </w:p>
    <w:p>
      <w:pPr>
        <w:pStyle w:val="4"/>
        <w:rPr>
          <w:rFonts w:hAnsi="黑体" w:cs="黑体"/>
          <w:b/>
          <w:color w:val="000000"/>
          <w:sz w:val="24"/>
        </w:rPr>
      </w:pPr>
    </w:p>
    <w:p>
      <w:pPr>
        <w:pStyle w:val="4"/>
        <w:rPr>
          <w:rFonts w:hAnsi="黑体" w:cs="黑体"/>
          <w:b/>
          <w:color w:val="000000"/>
          <w:sz w:val="24"/>
        </w:rPr>
      </w:pPr>
    </w:p>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附件7</w:t>
      </w:r>
    </w:p>
    <w:p>
      <w:pPr>
        <w:pStyle w:val="3"/>
        <w:spacing w:after="156" w:afterLines="50"/>
        <w:ind w:firstLine="0" w:firstLineChars="0"/>
        <w:rPr>
          <w:rFonts w:ascii="宋体" w:hAnsi="宋体" w:cs="宋体"/>
          <w:b/>
          <w:color w:val="000000"/>
          <w:kern w:val="0"/>
          <w:szCs w:val="24"/>
        </w:rPr>
      </w:pPr>
      <w:r>
        <w:rPr>
          <w:rFonts w:hint="eastAsia" w:ascii="宋体" w:hAnsi="宋体" w:cs="宋体"/>
          <w:b/>
          <w:color w:val="000000"/>
          <w:kern w:val="0"/>
          <w:szCs w:val="24"/>
        </w:rPr>
        <w:t>一、2024年度教学及教辅资料印刷比选项目内容及要求</w:t>
      </w:r>
    </w:p>
    <w:p>
      <w:pPr>
        <w:spacing w:line="500" w:lineRule="exact"/>
        <w:ind w:firstLine="480" w:firstLineChars="200"/>
        <w:rPr>
          <w:rFonts w:ascii="宋体" w:hAnsi="宋体" w:cs="宋体"/>
          <w:sz w:val="24"/>
        </w:rPr>
      </w:pPr>
      <w:r>
        <w:rPr>
          <w:rFonts w:hint="eastAsia" w:ascii="宋体" w:hAnsi="宋体" w:cs="宋体"/>
          <w:sz w:val="24"/>
        </w:rPr>
        <w:t>湖南化工职业技术学院拟采购一批教学及教辅印刷资料，主要包括读书笔记本、实验报告纸、实习笔记本、图纸、作业本、英语本等。现按照招标采购流程比选1家优质供货商进行采购。</w:t>
      </w:r>
    </w:p>
    <w:p>
      <w:pPr>
        <w:spacing w:line="500" w:lineRule="exact"/>
        <w:ind w:firstLine="482" w:firstLineChars="200"/>
        <w:rPr>
          <w:rFonts w:ascii="宋体" w:hAnsi="宋体" w:cs="宋体"/>
          <w:sz w:val="24"/>
        </w:rPr>
      </w:pPr>
      <w:r>
        <w:rPr>
          <w:rFonts w:hint="eastAsia" w:ascii="宋体" w:hAnsi="宋体" w:cs="宋体"/>
          <w:b/>
          <w:sz w:val="24"/>
        </w:rPr>
        <w:t>二、比选投标须知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（2）投标单位应在报名期间到现场勘察和认真审阅比选文件。如果投标单位没有现场勘察或者实质上不响应比选文件的要求，将被视为不合格投标人。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三、投标纪律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5" w:name="OLE_LINK1"/>
      <w:r>
        <w:rPr>
          <w:rFonts w:hint="eastAsia" w:ascii="宋体" w:hAnsi="宋体" w:cs="宋体"/>
          <w:sz w:val="24"/>
        </w:rPr>
        <w:t>盖投标单位公章</w:t>
      </w:r>
      <w:bookmarkEnd w:id="5"/>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四、比选投标文件的编制要求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 ；</w:t>
      </w:r>
    </w:p>
    <w:p>
      <w:pPr>
        <w:pStyle w:val="4"/>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5、比选投标单位近三年来承担同类高校合作成功案例业绩证明资料；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6" w:name="OLE_LINK3"/>
      <w:r>
        <w:rPr>
          <w:rFonts w:hint="eastAsia" w:ascii="宋体" w:hAnsi="宋体" w:cs="宋体"/>
          <w:sz w:val="24"/>
        </w:rPr>
        <w:t>投标单位</w:t>
      </w:r>
      <w:bookmarkEnd w:id="6"/>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五、比选投标文件的份数与签署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三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六、投标文件的密封与递交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109</w:t>
      </w:r>
      <w:r>
        <w:rPr>
          <w:rFonts w:hint="eastAsia" w:ascii="宋体" w:hAnsi="宋体" w:cs="宋体"/>
          <w:sz w:val="24"/>
        </w:rPr>
        <w:t>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七、评标办法和选取确认方式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5"/>
        <w:spacing w:after="0"/>
        <w:jc w:val="center"/>
        <w:rPr>
          <w:rFonts w:ascii="仿宋" w:hAnsi="仿宋" w:eastAsia="仿宋" w:cs="仿宋"/>
          <w:sz w:val="28"/>
          <w:szCs w:val="28"/>
        </w:rPr>
      </w:pPr>
      <w:r>
        <w:rPr>
          <w:rFonts w:hint="eastAsia" w:ascii="仿宋" w:hAnsi="仿宋" w:eastAsia="仿宋" w:cs="仿宋"/>
          <w:b/>
          <w:bCs/>
          <w:sz w:val="28"/>
          <w:szCs w:val="28"/>
        </w:rPr>
        <w:t>比选评分标准</w:t>
      </w:r>
    </w:p>
    <w:tbl>
      <w:tblPr>
        <w:tblStyle w:val="13"/>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04"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7075"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804" w:type="dxa"/>
            <w:vAlign w:val="center"/>
          </w:tcPr>
          <w:p>
            <w:pPr>
              <w:spacing w:line="400" w:lineRule="exact"/>
              <w:jc w:val="center"/>
              <w:rPr>
                <w:rFonts w:hAnsi="仿宋_GB2312" w:cs="仿宋_GB2312"/>
                <w:szCs w:val="21"/>
              </w:rPr>
            </w:pPr>
            <w:r>
              <w:rPr>
                <w:rFonts w:hint="eastAsia" w:hAnsi="仿宋_GB2312" w:cs="仿宋_GB2312"/>
                <w:szCs w:val="21"/>
              </w:rPr>
              <w:t>投标报价</w:t>
            </w:r>
          </w:p>
          <w:p>
            <w:pPr>
              <w:spacing w:line="400" w:lineRule="exact"/>
              <w:jc w:val="center"/>
              <w:rPr>
                <w:rFonts w:hAnsi="仿宋_GB2312" w:cs="仿宋_GB2312"/>
                <w:szCs w:val="21"/>
              </w:rPr>
            </w:pPr>
            <w:r>
              <w:rPr>
                <w:rFonts w:hint="eastAsia" w:hAnsi="仿宋_GB2312" w:cs="仿宋_GB2312"/>
                <w:szCs w:val="21"/>
              </w:rPr>
              <w:t>（</w:t>
            </w:r>
            <w:r>
              <w:rPr>
                <w:rFonts w:hAnsi="仿宋_GB2312" w:cs="仿宋_GB2312"/>
                <w:szCs w:val="21"/>
              </w:rPr>
              <w:t>50</w:t>
            </w:r>
            <w:r>
              <w:rPr>
                <w:rFonts w:hint="eastAsia" w:hAnsi="仿宋_GB2312" w:cs="仿宋_GB2312"/>
                <w:szCs w:val="21"/>
              </w:rPr>
              <w:t>分）</w:t>
            </w:r>
          </w:p>
        </w:tc>
        <w:tc>
          <w:tcPr>
            <w:tcW w:w="70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仿宋_GB2312" w:cs="仿宋_GB2312"/>
                <w:szCs w:val="21"/>
              </w:rPr>
            </w:pPr>
            <w:r>
              <w:rPr>
                <w:rFonts w:ascii="宋体" w:hAnsi="宋体" w:cs="宋体"/>
                <w:kern w:val="0"/>
                <w:szCs w:val="21"/>
              </w:rPr>
              <w:t>满足采购文件要求且投标价格最低的评审报价为评标基准价，其价格得分计</w:t>
            </w:r>
            <w:r>
              <w:rPr>
                <w:rFonts w:hint="eastAsia" w:ascii="宋体" w:hAnsi="宋体" w:cs="宋体"/>
                <w:kern w:val="0"/>
                <w:szCs w:val="21"/>
              </w:rPr>
              <w:t>50</w:t>
            </w:r>
            <w:r>
              <w:rPr>
                <w:rFonts w:ascii="宋体" w:hAnsi="宋体" w:cs="宋体"/>
                <w:kern w:val="0"/>
                <w:szCs w:val="21"/>
              </w:rPr>
              <w:t>分。其他投标人的价格得分统一按公式计算：</w:t>
            </w:r>
            <w:r>
              <w:rPr>
                <w:rFonts w:ascii="宋体" w:hAnsi="宋体" w:cs="宋体"/>
                <w:kern w:val="0"/>
                <w:szCs w:val="21"/>
              </w:rPr>
              <w:br w:type="textWrapping"/>
            </w:r>
            <w:r>
              <w:rPr>
                <w:rFonts w:ascii="宋体" w:hAnsi="宋体" w:cs="宋体"/>
                <w:kern w:val="0"/>
                <w:szCs w:val="21"/>
              </w:rPr>
              <w:t>报价得分＝（评标基准价/</w:t>
            </w:r>
            <w:r>
              <w:rPr>
                <w:rFonts w:hint="eastAsia" w:ascii="宋体" w:hAnsi="宋体" w:cs="宋体"/>
                <w:kern w:val="0"/>
                <w:szCs w:val="21"/>
              </w:rPr>
              <w:t>投</w:t>
            </w:r>
            <w:r>
              <w:rPr>
                <w:rFonts w:ascii="宋体" w:hAnsi="宋体" w:cs="宋体"/>
                <w:kern w:val="0"/>
                <w:szCs w:val="21"/>
              </w:rPr>
              <w:t>标报价）×</w:t>
            </w:r>
            <w:r>
              <w:rPr>
                <w:rFonts w:hint="eastAsia" w:ascii="宋体" w:hAnsi="宋体" w:cs="宋体"/>
                <w:kern w:val="0"/>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804" w:type="dxa"/>
            <w:vAlign w:val="center"/>
          </w:tcPr>
          <w:p>
            <w:pPr>
              <w:spacing w:line="400" w:lineRule="exact"/>
              <w:jc w:val="center"/>
              <w:rPr>
                <w:rFonts w:hAnsi="仿宋_GB2312" w:cs="仿宋_GB2312"/>
                <w:szCs w:val="21"/>
              </w:rPr>
            </w:pPr>
            <w:r>
              <w:rPr>
                <w:rFonts w:hint="eastAsia" w:hAnsi="仿宋_GB2312" w:cs="仿宋_GB2312"/>
                <w:szCs w:val="21"/>
              </w:rPr>
              <w:t>服务质量</w:t>
            </w:r>
          </w:p>
          <w:p>
            <w:pPr>
              <w:spacing w:line="400" w:lineRule="exact"/>
              <w:jc w:val="center"/>
              <w:rPr>
                <w:rFonts w:hAnsi="仿宋_GB2312" w:cs="仿宋_GB2312"/>
                <w:szCs w:val="21"/>
              </w:rPr>
            </w:pPr>
            <w:r>
              <w:rPr>
                <w:rFonts w:hint="eastAsia" w:hAnsi="仿宋_GB2312" w:cs="仿宋_GB2312"/>
                <w:szCs w:val="21"/>
              </w:rPr>
              <w:t>保障措施</w:t>
            </w:r>
          </w:p>
          <w:p>
            <w:pPr>
              <w:spacing w:line="400" w:lineRule="exact"/>
              <w:jc w:val="center"/>
              <w:rPr>
                <w:rFonts w:hAnsi="仿宋_GB2312" w:cs="仿宋_GB2312"/>
                <w:szCs w:val="21"/>
              </w:rPr>
            </w:pPr>
            <w:r>
              <w:rPr>
                <w:rFonts w:hint="eastAsia" w:hAnsi="仿宋_GB2312" w:cs="仿宋_GB2312"/>
                <w:szCs w:val="21"/>
              </w:rPr>
              <w:t>（</w:t>
            </w:r>
            <w:r>
              <w:rPr>
                <w:rFonts w:hAnsi="仿宋_GB2312" w:cs="仿宋_GB2312"/>
                <w:szCs w:val="21"/>
              </w:rPr>
              <w:t>20</w:t>
            </w:r>
            <w:r>
              <w:rPr>
                <w:rFonts w:hint="eastAsia" w:hAnsi="仿宋_GB2312" w:cs="仿宋_GB2312"/>
                <w:szCs w:val="21"/>
              </w:rPr>
              <w:t>分）</w:t>
            </w:r>
          </w:p>
        </w:tc>
        <w:tc>
          <w:tcPr>
            <w:tcW w:w="7075"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产品采购服务响应时间共计10分。承诺临时追加产品1天内响应计10分，3天内响应计7分，5天内响应计4分，大于5天不记分。</w:t>
            </w:r>
          </w:p>
          <w:p>
            <w:pPr>
              <w:widowControl/>
              <w:spacing w:line="300" w:lineRule="exact"/>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投标人拟委派项目负责人及相关人员资格情况一览表（包括：姓名、性别、出生年月、学历、身份证编号），并提供相关人员近半年缴纳社保证明资料及相应学历、身份证的复印件（加盖投标单位公章）；提供相关完整材料的计8分，否则不计分。</w:t>
            </w:r>
          </w:p>
          <w:p>
            <w:pPr>
              <w:widowControl/>
              <w:adjustRightInd w:val="0"/>
              <w:snapToGrid w:val="0"/>
              <w:jc w:val="left"/>
              <w:rPr>
                <w:rFonts w:hAnsi="仿宋_GB2312" w:cs="仿宋_GB2312"/>
                <w:szCs w:val="21"/>
              </w:rPr>
            </w:pPr>
            <w:r>
              <w:rPr>
                <w:rFonts w:hint="eastAsia" w:ascii="宋体" w:hAnsi="宋体" w:cs="宋体"/>
                <w:kern w:val="0"/>
                <w:szCs w:val="21"/>
              </w:rPr>
              <w:t>3、承诺提供与本项目相关的其他服务的计2分，否则不计分。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804" w:type="dxa"/>
            <w:vAlign w:val="center"/>
          </w:tcPr>
          <w:p>
            <w:pPr>
              <w:spacing w:line="400" w:lineRule="exact"/>
              <w:jc w:val="center"/>
              <w:rPr>
                <w:rFonts w:hAnsi="仿宋_GB2312" w:cs="仿宋_GB2312"/>
                <w:szCs w:val="21"/>
              </w:rPr>
            </w:pPr>
            <w:r>
              <w:rPr>
                <w:rFonts w:hint="eastAsia" w:hAnsi="仿宋_GB2312" w:cs="仿宋_GB2312"/>
                <w:szCs w:val="21"/>
              </w:rPr>
              <w:t>类似业绩</w:t>
            </w:r>
          </w:p>
          <w:p>
            <w:pPr>
              <w:spacing w:line="400" w:lineRule="exact"/>
              <w:jc w:val="center"/>
              <w:rPr>
                <w:rFonts w:hAnsi="仿宋_GB2312" w:cs="仿宋_GB2312"/>
                <w:szCs w:val="21"/>
              </w:rPr>
            </w:pPr>
            <w:r>
              <w:rPr>
                <w:rFonts w:hint="eastAsia" w:hAnsi="仿宋_GB2312" w:cs="仿宋_GB2312"/>
                <w:szCs w:val="21"/>
              </w:rPr>
              <w:t>（</w:t>
            </w:r>
            <w:r>
              <w:rPr>
                <w:rFonts w:hAnsi="仿宋_GB2312" w:cs="仿宋_GB2312"/>
                <w:szCs w:val="21"/>
              </w:rPr>
              <w:t>15</w:t>
            </w:r>
            <w:r>
              <w:rPr>
                <w:rFonts w:hint="eastAsia" w:hAnsi="仿宋_GB2312" w:cs="仿宋_GB2312"/>
                <w:szCs w:val="21"/>
              </w:rPr>
              <w:t>分）</w:t>
            </w:r>
          </w:p>
        </w:tc>
        <w:tc>
          <w:tcPr>
            <w:tcW w:w="7075"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根据各投标人近三年来（20</w:t>
            </w:r>
            <w:r>
              <w:rPr>
                <w:rFonts w:ascii="宋体" w:hAnsi="宋体" w:cs="宋体"/>
                <w:kern w:val="0"/>
                <w:szCs w:val="21"/>
              </w:rPr>
              <w:t>21</w:t>
            </w:r>
            <w:r>
              <w:rPr>
                <w:rFonts w:hint="eastAsia" w:ascii="宋体" w:hAnsi="宋体" w:cs="宋体"/>
                <w:kern w:val="0"/>
                <w:szCs w:val="21"/>
              </w:rPr>
              <w:t>年1月至投标截止时间）承接过的类似项目进行评价，每提供一个类似项目业绩的计3分，本项最多计15分。</w:t>
            </w:r>
          </w:p>
          <w:p>
            <w:pPr>
              <w:widowControl/>
              <w:adjustRightInd w:val="0"/>
              <w:snapToGrid w:val="0"/>
              <w:jc w:val="left"/>
              <w:rPr>
                <w:rFonts w:ascii="宋体" w:hAnsi="宋体" w:cs="宋体"/>
                <w:kern w:val="0"/>
                <w:szCs w:val="21"/>
              </w:rPr>
            </w:pPr>
            <w:r>
              <w:rPr>
                <w:rFonts w:hint="eastAsia" w:ascii="宋体" w:hAnsi="宋体" w:cs="宋体"/>
                <w:b/>
                <w:bCs/>
                <w:kern w:val="0"/>
                <w:szCs w:val="21"/>
              </w:rPr>
              <w:t>注：需提供类似业绩项目合同复印件并加盖公章，否则不计分。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4" w:type="dxa"/>
            <w:vAlign w:val="center"/>
          </w:tcPr>
          <w:p>
            <w:pPr>
              <w:spacing w:line="400" w:lineRule="exact"/>
              <w:jc w:val="center"/>
              <w:rPr>
                <w:rFonts w:hAnsi="仿宋_GB2312" w:cs="仿宋_GB2312"/>
                <w:szCs w:val="21"/>
              </w:rPr>
            </w:pPr>
            <w:r>
              <w:rPr>
                <w:rFonts w:hint="eastAsia" w:hAnsi="仿宋_GB2312" w:cs="仿宋_GB2312"/>
                <w:szCs w:val="21"/>
              </w:rPr>
              <w:t>投标人实力</w:t>
            </w:r>
          </w:p>
          <w:p>
            <w:pPr>
              <w:spacing w:line="400" w:lineRule="exact"/>
              <w:jc w:val="center"/>
              <w:rPr>
                <w:rFonts w:hAnsi="仿宋_GB2312" w:cs="仿宋_GB2312"/>
                <w:szCs w:val="21"/>
              </w:rPr>
            </w:pPr>
            <w:r>
              <w:rPr>
                <w:rFonts w:hint="eastAsia" w:hAnsi="仿宋_GB2312" w:cs="仿宋_GB2312"/>
                <w:szCs w:val="21"/>
              </w:rPr>
              <w:t>（</w:t>
            </w:r>
            <w:r>
              <w:rPr>
                <w:rFonts w:hAnsi="仿宋_GB2312" w:cs="仿宋_GB2312"/>
                <w:szCs w:val="21"/>
              </w:rPr>
              <w:t>10</w:t>
            </w:r>
            <w:r>
              <w:rPr>
                <w:rFonts w:hint="eastAsia" w:hAnsi="仿宋_GB2312" w:cs="仿宋_GB2312"/>
                <w:szCs w:val="21"/>
              </w:rPr>
              <w:t>分）</w:t>
            </w:r>
          </w:p>
        </w:tc>
        <w:tc>
          <w:tcPr>
            <w:tcW w:w="7075" w:type="dxa"/>
            <w:tcBorders>
              <w:top w:val="nil"/>
              <w:left w:val="nil"/>
              <w:bottom w:val="single" w:color="auto" w:sz="4" w:space="0"/>
              <w:right w:val="single" w:color="auto" w:sz="4" w:space="0"/>
            </w:tcBorders>
            <w:vAlign w:val="center"/>
          </w:tcPr>
          <w:p>
            <w:pPr>
              <w:widowControl/>
              <w:tabs>
                <w:tab w:val="left" w:pos="312"/>
              </w:tabs>
              <w:adjustRightInd w:val="0"/>
              <w:snapToGrid w:val="0"/>
              <w:jc w:val="left"/>
              <w:rPr>
                <w:rFonts w:ascii="宋体" w:hAnsi="宋体" w:cs="宋体"/>
                <w:kern w:val="0"/>
                <w:szCs w:val="21"/>
              </w:rPr>
            </w:pPr>
            <w:r>
              <w:rPr>
                <w:rFonts w:hint="eastAsia" w:ascii="宋体" w:hAnsi="宋体" w:cs="宋体"/>
                <w:kern w:val="0"/>
                <w:szCs w:val="21"/>
              </w:rPr>
              <w:t>供应商具有自有的备品仓库的计10分。</w:t>
            </w:r>
          </w:p>
          <w:p>
            <w:pPr>
              <w:widowControl/>
              <w:adjustRightInd w:val="0"/>
              <w:snapToGrid w:val="0"/>
              <w:jc w:val="left"/>
              <w:rPr>
                <w:rFonts w:ascii="宋体" w:hAnsi="宋体" w:cs="宋体"/>
                <w:kern w:val="0"/>
                <w:szCs w:val="21"/>
              </w:rPr>
            </w:pPr>
            <w:r>
              <w:rPr>
                <w:rFonts w:hint="eastAsia" w:ascii="宋体" w:hAnsi="宋体" w:cs="宋体"/>
                <w:kern w:val="0"/>
                <w:szCs w:val="21"/>
              </w:rPr>
              <w:t>（需提供仓库的照片、房产证明或者房屋租赁合同，未提供的不计分）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4" w:type="dxa"/>
            <w:vAlign w:val="center"/>
          </w:tcPr>
          <w:p>
            <w:pPr>
              <w:spacing w:line="400" w:lineRule="exact"/>
              <w:jc w:val="center"/>
              <w:rPr>
                <w:rFonts w:hAnsi="仿宋_GB2312" w:cs="仿宋_GB2312"/>
                <w:szCs w:val="21"/>
              </w:rPr>
            </w:pPr>
            <w:r>
              <w:rPr>
                <w:rFonts w:hint="eastAsia" w:hAnsi="仿宋_GB2312" w:cs="仿宋_GB2312"/>
                <w:szCs w:val="21"/>
              </w:rPr>
              <w:t>其他（</w:t>
            </w:r>
            <w:r>
              <w:rPr>
                <w:rFonts w:hAnsi="仿宋_GB2312" w:cs="仿宋_GB2312"/>
                <w:szCs w:val="21"/>
              </w:rPr>
              <w:t>5</w:t>
            </w:r>
            <w:r>
              <w:rPr>
                <w:rFonts w:hint="eastAsia" w:hAnsi="仿宋_GB2312" w:cs="仿宋_GB2312"/>
                <w:szCs w:val="21"/>
              </w:rPr>
              <w:t>分）</w:t>
            </w:r>
          </w:p>
        </w:tc>
        <w:tc>
          <w:tcPr>
            <w:tcW w:w="7075" w:type="dxa"/>
            <w:tcBorders>
              <w:top w:val="nil"/>
              <w:left w:val="nil"/>
              <w:bottom w:val="single" w:color="auto" w:sz="4" w:space="0"/>
              <w:right w:val="single" w:color="auto" w:sz="4" w:space="0"/>
            </w:tcBorders>
            <w:vAlign w:val="center"/>
          </w:tcPr>
          <w:p>
            <w:pPr>
              <w:spacing w:line="400" w:lineRule="exact"/>
              <w:jc w:val="left"/>
              <w:rPr>
                <w:rFonts w:hAnsi="仿宋_GB2312" w:cs="仿宋_GB2312"/>
                <w:szCs w:val="21"/>
              </w:rPr>
            </w:pPr>
            <w:r>
              <w:rPr>
                <w:rFonts w:ascii="宋体" w:hAnsi="宋体" w:cs="宋体"/>
                <w:kern w:val="0"/>
                <w:szCs w:val="21"/>
              </w:rPr>
              <w:t>本地化服务：为确保售后服务快捷、高效，投标人在湖南省</w:t>
            </w:r>
            <w:r>
              <w:rPr>
                <w:rFonts w:hint="eastAsia" w:ascii="宋体" w:hAnsi="宋体" w:cs="宋体"/>
                <w:kern w:val="0"/>
                <w:szCs w:val="21"/>
              </w:rPr>
              <w:t>长株潭地区</w:t>
            </w:r>
            <w:r>
              <w:rPr>
                <w:rFonts w:ascii="宋体" w:hAnsi="宋体" w:cs="宋体"/>
                <w:kern w:val="0"/>
                <w:szCs w:val="21"/>
              </w:rPr>
              <w:t>有售后服务机构的，计4分，不具备的不得分。（须提供售后服务机构的营业执照）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4" w:type="dxa"/>
            <w:vAlign w:val="center"/>
          </w:tcPr>
          <w:p>
            <w:pPr>
              <w:spacing w:line="400" w:lineRule="exact"/>
              <w:jc w:val="center"/>
              <w:rPr>
                <w:rFonts w:hAnsi="仿宋_GB2312" w:cs="仿宋_GB2312"/>
                <w:szCs w:val="21"/>
              </w:rPr>
            </w:pPr>
            <w:r>
              <w:rPr>
                <w:rFonts w:hint="eastAsia" w:hAnsi="仿宋_GB2312" w:cs="仿宋_GB2312"/>
                <w:szCs w:val="21"/>
              </w:rPr>
              <w:t>总分</w:t>
            </w:r>
          </w:p>
        </w:tc>
        <w:tc>
          <w:tcPr>
            <w:tcW w:w="7075" w:type="dxa"/>
            <w:vAlign w:val="center"/>
          </w:tcPr>
          <w:p>
            <w:pPr>
              <w:spacing w:line="400" w:lineRule="exact"/>
              <w:jc w:val="center"/>
              <w:rPr>
                <w:rFonts w:hAnsi="仿宋_GB2312" w:cs="仿宋_GB2312"/>
                <w:szCs w:val="21"/>
              </w:rPr>
            </w:pPr>
            <w:r>
              <w:rPr>
                <w:rFonts w:hint="eastAsia" w:hAnsi="仿宋_GB2312" w:cs="仿宋_GB2312"/>
                <w:szCs w:val="21"/>
              </w:rPr>
              <w:t>100分</w:t>
            </w: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A0A2"/>
    <w:multiLevelType w:val="singleLevel"/>
    <w:tmpl w:val="B8A9A0A2"/>
    <w:lvl w:ilvl="0" w:tentative="0">
      <w:start w:val="1"/>
      <w:numFmt w:val="chineseCounting"/>
      <w:suff w:val="nothing"/>
      <w:lvlText w:val="%1、"/>
      <w:lvlJc w:val="left"/>
      <w:rPr>
        <w:rFonts w:hint="eastAsia"/>
        <w:lang w:val="en-US"/>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1MjdiZDgzNmRlYmRjNzRiMTE3MzNlMjZkNzhmMWUifQ=="/>
  </w:docVars>
  <w:rsids>
    <w:rsidRoot w:val="007C7C41"/>
    <w:rsid w:val="0002432A"/>
    <w:rsid w:val="00026832"/>
    <w:rsid w:val="0004220C"/>
    <w:rsid w:val="000B4AC9"/>
    <w:rsid w:val="000C2AAD"/>
    <w:rsid w:val="000C4FCD"/>
    <w:rsid w:val="000C7B07"/>
    <w:rsid w:val="000D17C4"/>
    <w:rsid w:val="000D2C1F"/>
    <w:rsid w:val="000E208E"/>
    <w:rsid w:val="000E22D8"/>
    <w:rsid w:val="000E2FCA"/>
    <w:rsid w:val="000E3EB7"/>
    <w:rsid w:val="000E6B0E"/>
    <w:rsid w:val="000F59A8"/>
    <w:rsid w:val="00103E0F"/>
    <w:rsid w:val="001041D4"/>
    <w:rsid w:val="001111B1"/>
    <w:rsid w:val="00113DE3"/>
    <w:rsid w:val="001229C1"/>
    <w:rsid w:val="001378A6"/>
    <w:rsid w:val="001407DC"/>
    <w:rsid w:val="00147AE1"/>
    <w:rsid w:val="001508AD"/>
    <w:rsid w:val="00185494"/>
    <w:rsid w:val="0019333A"/>
    <w:rsid w:val="001B2139"/>
    <w:rsid w:val="001C3297"/>
    <w:rsid w:val="001D36D3"/>
    <w:rsid w:val="001F5991"/>
    <w:rsid w:val="001F7DBC"/>
    <w:rsid w:val="00202942"/>
    <w:rsid w:val="002053A9"/>
    <w:rsid w:val="00206640"/>
    <w:rsid w:val="00220D7A"/>
    <w:rsid w:val="0023261F"/>
    <w:rsid w:val="00265E3A"/>
    <w:rsid w:val="00266420"/>
    <w:rsid w:val="002802E5"/>
    <w:rsid w:val="002837F0"/>
    <w:rsid w:val="00285835"/>
    <w:rsid w:val="00291B18"/>
    <w:rsid w:val="002A4AE2"/>
    <w:rsid w:val="002B187F"/>
    <w:rsid w:val="002B2B07"/>
    <w:rsid w:val="002C024E"/>
    <w:rsid w:val="002C2671"/>
    <w:rsid w:val="002F6DB9"/>
    <w:rsid w:val="00311AEF"/>
    <w:rsid w:val="0033452A"/>
    <w:rsid w:val="003409D6"/>
    <w:rsid w:val="00342556"/>
    <w:rsid w:val="00350BE7"/>
    <w:rsid w:val="00354EDA"/>
    <w:rsid w:val="003552E1"/>
    <w:rsid w:val="00376BAC"/>
    <w:rsid w:val="00384497"/>
    <w:rsid w:val="003961FC"/>
    <w:rsid w:val="003978F7"/>
    <w:rsid w:val="003B018F"/>
    <w:rsid w:val="003E08E9"/>
    <w:rsid w:val="00404AB4"/>
    <w:rsid w:val="00414168"/>
    <w:rsid w:val="00434A15"/>
    <w:rsid w:val="00444647"/>
    <w:rsid w:val="004470A7"/>
    <w:rsid w:val="004473FA"/>
    <w:rsid w:val="004628AB"/>
    <w:rsid w:val="00463B93"/>
    <w:rsid w:val="004719E3"/>
    <w:rsid w:val="00474429"/>
    <w:rsid w:val="00494B92"/>
    <w:rsid w:val="004A0F69"/>
    <w:rsid w:val="004A47B4"/>
    <w:rsid w:val="004A4A1C"/>
    <w:rsid w:val="004B69EE"/>
    <w:rsid w:val="004D1E1D"/>
    <w:rsid w:val="004D35B2"/>
    <w:rsid w:val="004D683E"/>
    <w:rsid w:val="004E1784"/>
    <w:rsid w:val="004E7358"/>
    <w:rsid w:val="004F3BA6"/>
    <w:rsid w:val="005038C5"/>
    <w:rsid w:val="005279A6"/>
    <w:rsid w:val="00534A9A"/>
    <w:rsid w:val="005421CC"/>
    <w:rsid w:val="00544DAD"/>
    <w:rsid w:val="0057247C"/>
    <w:rsid w:val="00585B71"/>
    <w:rsid w:val="005A3261"/>
    <w:rsid w:val="005C2A6D"/>
    <w:rsid w:val="005E016F"/>
    <w:rsid w:val="005E12CB"/>
    <w:rsid w:val="005E5FC7"/>
    <w:rsid w:val="005F19DE"/>
    <w:rsid w:val="005F3395"/>
    <w:rsid w:val="005F6E1B"/>
    <w:rsid w:val="005F6FA4"/>
    <w:rsid w:val="006101E4"/>
    <w:rsid w:val="0061359D"/>
    <w:rsid w:val="00616524"/>
    <w:rsid w:val="006377EA"/>
    <w:rsid w:val="0065340C"/>
    <w:rsid w:val="00655E0C"/>
    <w:rsid w:val="0068371B"/>
    <w:rsid w:val="006A056B"/>
    <w:rsid w:val="006B274D"/>
    <w:rsid w:val="006B5265"/>
    <w:rsid w:val="006E407C"/>
    <w:rsid w:val="006F43C4"/>
    <w:rsid w:val="00700865"/>
    <w:rsid w:val="00706CE7"/>
    <w:rsid w:val="00712128"/>
    <w:rsid w:val="00712F84"/>
    <w:rsid w:val="007154F1"/>
    <w:rsid w:val="00722BBF"/>
    <w:rsid w:val="00731F69"/>
    <w:rsid w:val="00750DC3"/>
    <w:rsid w:val="00785A55"/>
    <w:rsid w:val="007A6C65"/>
    <w:rsid w:val="007B05D1"/>
    <w:rsid w:val="007C7C41"/>
    <w:rsid w:val="007D2559"/>
    <w:rsid w:val="007D6D66"/>
    <w:rsid w:val="007E0833"/>
    <w:rsid w:val="00801062"/>
    <w:rsid w:val="00810469"/>
    <w:rsid w:val="00825689"/>
    <w:rsid w:val="00826C2A"/>
    <w:rsid w:val="008655EF"/>
    <w:rsid w:val="00870587"/>
    <w:rsid w:val="00877D26"/>
    <w:rsid w:val="00885372"/>
    <w:rsid w:val="00885BB1"/>
    <w:rsid w:val="008A10B6"/>
    <w:rsid w:val="008A5D13"/>
    <w:rsid w:val="008B48B2"/>
    <w:rsid w:val="008E54DB"/>
    <w:rsid w:val="008E66EB"/>
    <w:rsid w:val="00903C20"/>
    <w:rsid w:val="00906CC5"/>
    <w:rsid w:val="00921051"/>
    <w:rsid w:val="00927127"/>
    <w:rsid w:val="009368D3"/>
    <w:rsid w:val="00951FAE"/>
    <w:rsid w:val="00961C65"/>
    <w:rsid w:val="009754C8"/>
    <w:rsid w:val="009A1D1C"/>
    <w:rsid w:val="009B5FB6"/>
    <w:rsid w:val="009F30ED"/>
    <w:rsid w:val="00A12750"/>
    <w:rsid w:val="00A16F7A"/>
    <w:rsid w:val="00A20E43"/>
    <w:rsid w:val="00A23BA5"/>
    <w:rsid w:val="00A35BB7"/>
    <w:rsid w:val="00A37FF5"/>
    <w:rsid w:val="00A53A34"/>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6748"/>
    <w:rsid w:val="00B7493C"/>
    <w:rsid w:val="00B81ED0"/>
    <w:rsid w:val="00B87532"/>
    <w:rsid w:val="00BA2B80"/>
    <w:rsid w:val="00BB0BBD"/>
    <w:rsid w:val="00BD0325"/>
    <w:rsid w:val="00BE0D00"/>
    <w:rsid w:val="00BF5E60"/>
    <w:rsid w:val="00C10E71"/>
    <w:rsid w:val="00C56430"/>
    <w:rsid w:val="00C73F58"/>
    <w:rsid w:val="00CA2BEB"/>
    <w:rsid w:val="00CB7695"/>
    <w:rsid w:val="00CC512E"/>
    <w:rsid w:val="00CC68B0"/>
    <w:rsid w:val="00CD6C9C"/>
    <w:rsid w:val="00CF1803"/>
    <w:rsid w:val="00D069B4"/>
    <w:rsid w:val="00D159D5"/>
    <w:rsid w:val="00D379A2"/>
    <w:rsid w:val="00D42DED"/>
    <w:rsid w:val="00D70A69"/>
    <w:rsid w:val="00D80103"/>
    <w:rsid w:val="00D85CA0"/>
    <w:rsid w:val="00D93253"/>
    <w:rsid w:val="00D9421F"/>
    <w:rsid w:val="00DA340E"/>
    <w:rsid w:val="00DA67B2"/>
    <w:rsid w:val="00DB2CAE"/>
    <w:rsid w:val="00DB5AB0"/>
    <w:rsid w:val="00DF2E12"/>
    <w:rsid w:val="00E17DCF"/>
    <w:rsid w:val="00E250FD"/>
    <w:rsid w:val="00E271E4"/>
    <w:rsid w:val="00E51E05"/>
    <w:rsid w:val="00E538A7"/>
    <w:rsid w:val="00E561F7"/>
    <w:rsid w:val="00E72E7B"/>
    <w:rsid w:val="00E73810"/>
    <w:rsid w:val="00E8275B"/>
    <w:rsid w:val="00E92D41"/>
    <w:rsid w:val="00EA3476"/>
    <w:rsid w:val="00ED2FB9"/>
    <w:rsid w:val="00ED7572"/>
    <w:rsid w:val="00EE4071"/>
    <w:rsid w:val="00EF202B"/>
    <w:rsid w:val="00EF4C05"/>
    <w:rsid w:val="00F10332"/>
    <w:rsid w:val="00F43369"/>
    <w:rsid w:val="00F74538"/>
    <w:rsid w:val="00F7673C"/>
    <w:rsid w:val="00F87DB3"/>
    <w:rsid w:val="00F93939"/>
    <w:rsid w:val="00FB34C2"/>
    <w:rsid w:val="00FB54AC"/>
    <w:rsid w:val="00FB6547"/>
    <w:rsid w:val="00FB69EE"/>
    <w:rsid w:val="00FB71AB"/>
    <w:rsid w:val="00FB7D38"/>
    <w:rsid w:val="00FC53F2"/>
    <w:rsid w:val="00FE2A63"/>
    <w:rsid w:val="00FF2603"/>
    <w:rsid w:val="024018DF"/>
    <w:rsid w:val="04114082"/>
    <w:rsid w:val="11AA79EB"/>
    <w:rsid w:val="12476873"/>
    <w:rsid w:val="145F6D78"/>
    <w:rsid w:val="15DD1DF8"/>
    <w:rsid w:val="1C0E2CEB"/>
    <w:rsid w:val="1CB15175"/>
    <w:rsid w:val="36993C98"/>
    <w:rsid w:val="36A42976"/>
    <w:rsid w:val="371A4C8C"/>
    <w:rsid w:val="38136454"/>
    <w:rsid w:val="3B0F6ACC"/>
    <w:rsid w:val="3BEE6177"/>
    <w:rsid w:val="3D422619"/>
    <w:rsid w:val="40E616BA"/>
    <w:rsid w:val="4349552E"/>
    <w:rsid w:val="4390748B"/>
    <w:rsid w:val="45EE264F"/>
    <w:rsid w:val="47EE40E5"/>
    <w:rsid w:val="47F87C39"/>
    <w:rsid w:val="49FF0303"/>
    <w:rsid w:val="507A645F"/>
    <w:rsid w:val="53B31AE1"/>
    <w:rsid w:val="54F16ABB"/>
    <w:rsid w:val="597B5CF8"/>
    <w:rsid w:val="5D7E5824"/>
    <w:rsid w:val="645E6340"/>
    <w:rsid w:val="665146E0"/>
    <w:rsid w:val="68320EBE"/>
    <w:rsid w:val="68840209"/>
    <w:rsid w:val="696372E0"/>
    <w:rsid w:val="6CCB679F"/>
    <w:rsid w:val="76A0780E"/>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8"/>
    <w:autoRedefine/>
    <w:qFormat/>
    <w:uiPriority w:val="0"/>
    <w:pPr>
      <w:keepNext/>
      <w:keepLines/>
      <w:spacing w:line="360" w:lineRule="auto"/>
      <w:outlineLvl w:val="1"/>
    </w:pPr>
    <w:rPr>
      <w:rFonts w:ascii="Arial" w:hAnsi="Arial"/>
      <w:b/>
      <w:bCs/>
      <w:sz w:val="24"/>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ascii="Calibri" w:hAnsi="Calibri"/>
      <w:sz w:val="24"/>
      <w:szCs w:val="22"/>
    </w:rPr>
  </w:style>
  <w:style w:type="paragraph" w:customStyle="1" w:styleId="4">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Body Text"/>
    <w:basedOn w:val="1"/>
    <w:next w:val="4"/>
    <w:link w:val="79"/>
    <w:autoRedefine/>
    <w:qFormat/>
    <w:uiPriority w:val="0"/>
    <w:pPr>
      <w:spacing w:after="120"/>
    </w:pPr>
  </w:style>
  <w:style w:type="paragraph" w:styleId="6">
    <w:name w:val="Body Text Indent"/>
    <w:basedOn w:val="1"/>
    <w:link w:val="74"/>
    <w:qFormat/>
    <w:uiPriority w:val="0"/>
    <w:pPr>
      <w:adjustRightInd w:val="0"/>
      <w:snapToGrid w:val="0"/>
      <w:spacing w:line="360" w:lineRule="atLeast"/>
      <w:ind w:firstLine="480"/>
    </w:pPr>
    <w:rPr>
      <w:sz w:val="24"/>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76"/>
    <w:qFormat/>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Body Text First Indent 2"/>
    <w:basedOn w:val="6"/>
    <w:link w:val="75"/>
    <w:uiPriority w:val="0"/>
    <w:pPr>
      <w:adjustRightInd/>
      <w:snapToGrid/>
      <w:spacing w:after="120" w:line="240" w:lineRule="auto"/>
      <w:ind w:left="420" w:leftChars="200" w:firstLine="420" w:firstLineChars="200"/>
    </w:pPr>
    <w:rPr>
      <w:sz w:val="21"/>
    </w:rPr>
  </w:style>
  <w:style w:type="character" w:styleId="15">
    <w:name w:val="page number"/>
    <w:basedOn w:val="14"/>
    <w:qFormat/>
    <w:uiPriority w:val="0"/>
  </w:style>
  <w:style w:type="character" w:styleId="16">
    <w:name w:val="FollowedHyperlink"/>
    <w:unhideWhenUsed/>
    <w:uiPriority w:val="99"/>
    <w:rPr>
      <w:color w:val="800080"/>
      <w:u w:val="single"/>
    </w:rPr>
  </w:style>
  <w:style w:type="character" w:styleId="17">
    <w:name w:val="Emphasis"/>
    <w:autoRedefine/>
    <w:qFormat/>
    <w:uiPriority w:val="0"/>
    <w:rPr>
      <w:color w:val="CC0000"/>
    </w:rPr>
  </w:style>
  <w:style w:type="character" w:styleId="18">
    <w:name w:val="Hyperlink"/>
    <w:qFormat/>
    <w:uiPriority w:val="99"/>
    <w:rPr>
      <w:color w:val="990000"/>
      <w:sz w:val="18"/>
      <w:szCs w:val="18"/>
      <w:u w:val="none"/>
    </w:rPr>
  </w:style>
  <w:style w:type="character" w:customStyle="1" w:styleId="19">
    <w:name w:val="style21"/>
    <w:autoRedefine/>
    <w:qFormat/>
    <w:uiPriority w:val="0"/>
    <w:rPr>
      <w:sz w:val="22"/>
      <w:szCs w:val="22"/>
    </w:rPr>
  </w:style>
  <w:style w:type="character" w:customStyle="1" w:styleId="20">
    <w:name w:val="font21"/>
    <w:qFormat/>
    <w:uiPriority w:val="0"/>
    <w:rPr>
      <w:rFonts w:hint="eastAsia" w:ascii="宋体" w:hAnsi="宋体" w:eastAsia="宋体" w:cs="宋体"/>
      <w:color w:val="000000"/>
      <w:sz w:val="20"/>
      <w:szCs w:val="20"/>
      <w:u w:val="none"/>
    </w:rPr>
  </w:style>
  <w:style w:type="character" w:customStyle="1" w:styleId="21">
    <w:name w:val="font41"/>
    <w:uiPriority w:val="0"/>
    <w:rPr>
      <w:rFonts w:ascii="微软雅黑" w:hAnsi="微软雅黑" w:eastAsia="微软雅黑" w:cs="微软雅黑"/>
      <w:b/>
      <w:color w:val="000000"/>
      <w:sz w:val="40"/>
      <w:szCs w:val="40"/>
      <w:u w:val="none"/>
    </w:rPr>
  </w:style>
  <w:style w:type="character" w:customStyle="1" w:styleId="22">
    <w:name w:val="font01"/>
    <w:uiPriority w:val="0"/>
    <w:rPr>
      <w:rFonts w:hint="eastAsia" w:ascii="宋体" w:hAnsi="宋体" w:eastAsia="宋体" w:cs="宋体"/>
      <w:color w:val="000000"/>
      <w:sz w:val="22"/>
      <w:szCs w:val="22"/>
      <w:u w:val="none"/>
    </w:rPr>
  </w:style>
  <w:style w:type="character" w:customStyle="1" w:styleId="23">
    <w:name w:val="font31"/>
    <w:uiPriority w:val="0"/>
    <w:rPr>
      <w:rFonts w:hint="eastAsia" w:ascii="微软雅黑" w:hAnsi="微软雅黑" w:eastAsia="微软雅黑" w:cs="微软雅黑"/>
      <w:color w:val="000000"/>
      <w:sz w:val="20"/>
      <w:szCs w:val="20"/>
      <w:u w:val="none"/>
    </w:rPr>
  </w:style>
  <w:style w:type="paragraph" w:customStyle="1" w:styleId="24">
    <w:name w:val="font5"/>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25">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27">
    <w:name w:val="font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8">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2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3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4">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36">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7">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5">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6">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4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8">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49">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0">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2">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53">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5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5">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57">
    <w:name w:val="xl102"/>
    <w:basedOn w:val="1"/>
    <w:autoRedefine/>
    <w:uiPriority w:val="0"/>
    <w:pPr>
      <w:widowControl/>
      <w:spacing w:before="100" w:beforeAutospacing="1" w:after="100" w:afterAutospacing="1"/>
      <w:jc w:val="center"/>
    </w:pPr>
    <w:rPr>
      <w:rFonts w:ascii="宋体" w:hAnsi="宋体" w:cs="宋体"/>
      <w:kern w:val="0"/>
      <w:sz w:val="24"/>
    </w:rPr>
  </w:style>
  <w:style w:type="paragraph" w:customStyle="1" w:styleId="58">
    <w:name w:val="xl103"/>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0">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1">
    <w:name w:val="xl106"/>
    <w:basedOn w:val="1"/>
    <w:uiPriority w:val="0"/>
    <w:pPr>
      <w:widowControl/>
      <w:spacing w:before="100" w:beforeAutospacing="1" w:after="100" w:afterAutospacing="1"/>
      <w:jc w:val="center"/>
    </w:pPr>
    <w:rPr>
      <w:rFonts w:ascii="宋体" w:hAnsi="宋体" w:cs="宋体"/>
      <w:b/>
      <w:bCs/>
      <w:kern w:val="0"/>
      <w:sz w:val="24"/>
    </w:rPr>
  </w:style>
  <w:style w:type="paragraph" w:customStyle="1" w:styleId="62">
    <w:name w:val="xl107"/>
    <w:basedOn w:val="1"/>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63">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4">
    <w:name w:val="xl109"/>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5">
    <w:name w:val="xl11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66">
    <w:name w:val="xl111"/>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67">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8">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69">
    <w:name w:val="font51"/>
    <w:basedOn w:val="14"/>
    <w:autoRedefine/>
    <w:qFormat/>
    <w:uiPriority w:val="0"/>
    <w:rPr>
      <w:rFonts w:hint="eastAsia" w:ascii="宋体" w:hAnsi="宋体" w:eastAsia="宋体" w:cs="宋体"/>
      <w:color w:val="000000"/>
      <w:sz w:val="24"/>
      <w:szCs w:val="24"/>
      <w:u w:val="none"/>
    </w:rPr>
  </w:style>
  <w:style w:type="character" w:customStyle="1" w:styleId="70">
    <w:name w:val="font81"/>
    <w:basedOn w:val="14"/>
    <w:uiPriority w:val="0"/>
    <w:rPr>
      <w:rFonts w:hint="eastAsia" w:ascii="宋体" w:hAnsi="宋体" w:eastAsia="宋体" w:cs="宋体"/>
      <w:color w:val="000000"/>
      <w:sz w:val="24"/>
      <w:szCs w:val="24"/>
      <w:u w:val="none"/>
    </w:rPr>
  </w:style>
  <w:style w:type="character" w:customStyle="1" w:styleId="71">
    <w:name w:val="font151"/>
    <w:basedOn w:val="14"/>
    <w:autoRedefine/>
    <w:qFormat/>
    <w:uiPriority w:val="0"/>
    <w:rPr>
      <w:rFonts w:hint="eastAsia" w:ascii="宋体" w:hAnsi="宋体" w:eastAsia="宋体" w:cs="宋体"/>
      <w:b/>
      <w:bCs/>
      <w:color w:val="000000"/>
      <w:sz w:val="24"/>
      <w:szCs w:val="24"/>
      <w:u w:val="none"/>
    </w:rPr>
  </w:style>
  <w:style w:type="character" w:customStyle="1" w:styleId="72">
    <w:name w:val="font161"/>
    <w:basedOn w:val="14"/>
    <w:autoRedefine/>
    <w:qFormat/>
    <w:uiPriority w:val="0"/>
    <w:rPr>
      <w:rFonts w:hint="eastAsia" w:ascii="宋体" w:hAnsi="宋体" w:eastAsia="宋体" w:cs="宋体"/>
      <w:b/>
      <w:bCs/>
      <w:color w:val="000000"/>
      <w:sz w:val="22"/>
      <w:szCs w:val="22"/>
      <w:u w:val="none"/>
    </w:rPr>
  </w:style>
  <w:style w:type="paragraph" w:styleId="73">
    <w:name w:val="List Paragraph"/>
    <w:basedOn w:val="1"/>
    <w:autoRedefine/>
    <w:unhideWhenUsed/>
    <w:qFormat/>
    <w:uiPriority w:val="99"/>
    <w:pPr>
      <w:ind w:firstLine="420" w:firstLineChars="200"/>
    </w:pPr>
  </w:style>
  <w:style w:type="character" w:customStyle="1" w:styleId="74">
    <w:name w:val="正文文本缩进 字符"/>
    <w:basedOn w:val="14"/>
    <w:link w:val="6"/>
    <w:uiPriority w:val="0"/>
    <w:rPr>
      <w:kern w:val="2"/>
      <w:sz w:val="24"/>
      <w:szCs w:val="24"/>
    </w:rPr>
  </w:style>
  <w:style w:type="character" w:customStyle="1" w:styleId="75">
    <w:name w:val="正文文本首行缩进 2 字符"/>
    <w:basedOn w:val="74"/>
    <w:link w:val="12"/>
    <w:uiPriority w:val="0"/>
    <w:rPr>
      <w:kern w:val="2"/>
      <w:sz w:val="24"/>
      <w:szCs w:val="24"/>
    </w:rPr>
  </w:style>
  <w:style w:type="character" w:customStyle="1" w:styleId="76">
    <w:name w:val="正文文本 2 字符"/>
    <w:basedOn w:val="14"/>
    <w:link w:val="10"/>
    <w:autoRedefine/>
    <w:qFormat/>
    <w:uiPriority w:val="0"/>
    <w:rPr>
      <w:kern w:val="2"/>
      <w:sz w:val="21"/>
      <w:szCs w:val="24"/>
    </w:rPr>
  </w:style>
  <w:style w:type="paragraph" w:customStyle="1" w:styleId="77">
    <w:name w:val="列表段落1"/>
    <w:basedOn w:val="1"/>
    <w:qFormat/>
    <w:uiPriority w:val="99"/>
    <w:pPr>
      <w:widowControl/>
      <w:spacing w:before="50" w:after="50" w:line="400" w:lineRule="exact"/>
      <w:ind w:left="720"/>
      <w:contextualSpacing/>
      <w:jc w:val="left"/>
    </w:pPr>
    <w:rPr>
      <w:kern w:val="0"/>
      <w:sz w:val="24"/>
    </w:rPr>
  </w:style>
  <w:style w:type="character" w:customStyle="1" w:styleId="78">
    <w:name w:val="标题 2 字符"/>
    <w:basedOn w:val="14"/>
    <w:link w:val="2"/>
    <w:uiPriority w:val="0"/>
    <w:rPr>
      <w:rFonts w:ascii="Arial" w:hAnsi="Arial"/>
      <w:b/>
      <w:bCs/>
      <w:kern w:val="2"/>
      <w:sz w:val="24"/>
      <w:szCs w:val="32"/>
    </w:rPr>
  </w:style>
  <w:style w:type="character" w:customStyle="1" w:styleId="79">
    <w:name w:val="正文文本 字符"/>
    <w:basedOn w:val="14"/>
    <w:link w:val="5"/>
    <w:uiPriority w:val="0"/>
    <w:rPr>
      <w:kern w:val="2"/>
      <w:sz w:val="21"/>
      <w:szCs w:val="24"/>
    </w:rPr>
  </w:style>
  <w:style w:type="paragraph" w:customStyle="1" w:styleId="80">
    <w:name w:val="EndnoteText"/>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1201</Words>
  <Characters>6848</Characters>
  <Lines>57</Lines>
  <Paragraphs>16</Paragraphs>
  <TotalTime>6131</TotalTime>
  <ScaleCrop>false</ScaleCrop>
  <LinksUpToDate>false</LinksUpToDate>
  <CharactersWithSpaces>8033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2016-03-07T08:05:00Z</dcterms:created>
  <dc:creator>jwc</dc:creator>
  <cp:lastModifiedBy>.oоО镶嵌</cp:lastModifiedBy>
  <cp:lastPrinted>2009-02-17T01:24:00Z</cp:lastPrinted>
  <dcterms:modified xsi:type="dcterms:W3CDTF">2024-01-05T01:02:12Z</dcterms:modified>
  <dc:title>湖南科技大学2005-2006年教材招标</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71F4049B52C64CA79F051A957D75CA83_13</vt:lpwstr>
  </property>
</Properties>
</file>