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五金、日杂及木质材料供应商采购项目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五金、日杂及木质材料供应商采购项目比选公告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cs="宋体"/>
          <w:color w:val="000000" w:themeColor="text1"/>
          <w:sz w:val="24"/>
          <w14:textFill>
            <w14:solidFill>
              <w14:schemeClr w14:val="tx1"/>
            </w14:solidFill>
          </w14:textFill>
        </w:rPr>
        <w:t>五金、日杂及木质材料</w:t>
      </w:r>
      <w:r>
        <w:rPr>
          <w:rFonts w:hint="eastAsia" w:ascii="宋体" w:hAnsi="宋体" w:cs="宋体"/>
          <w:color w:val="000000"/>
          <w:kern w:val="0"/>
          <w:sz w:val="24"/>
        </w:rPr>
        <w:t>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w:t>
      </w:r>
      <w:r>
        <w:rPr>
          <w:rFonts w:hint="eastAsia" w:cs="宋体"/>
          <w:color w:val="000000" w:themeColor="text1"/>
          <w:sz w:val="24"/>
          <w14:textFill>
            <w14:solidFill>
              <w14:schemeClr w14:val="tx1"/>
            </w14:solidFill>
          </w14:textFill>
        </w:rPr>
        <w:t>五金、日杂及木质材料</w:t>
      </w:r>
      <w:r>
        <w:rPr>
          <w:rFonts w:hint="eastAsia"/>
          <w:sz w:val="24"/>
        </w:rPr>
        <w:t>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15万元</w:t>
      </w:r>
      <w:bookmarkEnd w:id="1"/>
    </w:p>
    <w:p>
      <w:pPr>
        <w:pStyle w:val="81"/>
        <w:widowControl/>
        <w:numPr>
          <w:ilvl w:val="1"/>
          <w:numId w:val="1"/>
        </w:numPr>
        <w:spacing w:before="124" w:beforeLines="40" w:after="124" w:afterLines="40" w:line="360" w:lineRule="auto"/>
        <w:ind w:left="959"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479"/>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left="839"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left="839"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highlight w:val="none"/>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color w:val="000000"/>
          <w:kern w:val="0"/>
          <w:sz w:val="24"/>
          <w:highlight w:val="none"/>
        </w:rPr>
        <w:t>：2024年</w:t>
      </w:r>
      <w:r>
        <w:rPr>
          <w:rFonts w:hint="eastAsia" w:ascii="宋体" w:hAnsi="宋体" w:cs="宋体"/>
          <w:kern w:val="0"/>
          <w:sz w:val="24"/>
          <w:highlight w:val="none"/>
        </w:rPr>
        <w:t>6月</w:t>
      </w:r>
      <w:r>
        <w:rPr>
          <w:rFonts w:hint="eastAsia" w:ascii="宋体" w:hAnsi="宋体" w:cs="宋体"/>
          <w:kern w:val="0"/>
          <w:sz w:val="24"/>
          <w:highlight w:val="none"/>
          <w:lang w:val="en-US" w:eastAsia="zh-CN"/>
        </w:rPr>
        <w:t>27</w:t>
      </w:r>
      <w:r>
        <w:rPr>
          <w:rFonts w:hint="eastAsia" w:ascii="宋体" w:hAnsi="宋体" w:cs="宋体"/>
          <w:kern w:val="0"/>
          <w:sz w:val="24"/>
          <w:highlight w:val="none"/>
        </w:rPr>
        <w:t>日至2024年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w:t>
      </w:r>
      <w:r>
        <w:rPr>
          <w:rFonts w:hint="eastAsia" w:ascii="宋体" w:hAnsi="宋体" w:cs="宋体"/>
          <w:kern w:val="0"/>
          <w:sz w:val="24"/>
          <w:highlight w:val="none"/>
          <w:lang w:val="en-US" w:eastAsia="zh-CN"/>
        </w:rPr>
        <w:t>3</w:t>
      </w:r>
      <w:r>
        <w:rPr>
          <w:rFonts w:hint="eastAsia" w:ascii="宋体" w:hAnsi="宋体" w:cs="宋体"/>
          <w:kern w:val="0"/>
          <w:sz w:val="24"/>
          <w:highlight w:val="none"/>
        </w:rPr>
        <w:t>日17：00止（工作日）</w:t>
      </w:r>
      <w:r>
        <w:rPr>
          <w:rFonts w:hint="eastAsia" w:ascii="宋体" w:hAnsi="宋体" w:cs="宋体"/>
          <w:color w:val="000000"/>
          <w:kern w:val="0"/>
          <w:sz w:val="24"/>
          <w:highlight w:val="none"/>
        </w:rPr>
        <w:t>；</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cs="宋体"/>
          <w:color w:val="000000" w:themeColor="text1"/>
          <w:sz w:val="24"/>
          <w14:textFill>
            <w14:solidFill>
              <w14:schemeClr w14:val="tx1"/>
            </w14:solidFill>
          </w14:textFill>
        </w:rPr>
        <w:t>五金、日杂及木质材料</w:t>
      </w:r>
      <w:r>
        <w:rPr>
          <w:rFonts w:hint="eastAsia" w:ascii="宋体" w:hAnsi="宋体" w:cs="宋体"/>
          <w:color w:val="000000"/>
          <w:kern w:val="0"/>
          <w:sz w:val="24"/>
        </w:rPr>
        <w:t>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79"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、项目名称：五金、日杂及木质材料</w:t>
      </w:r>
      <w:r>
        <w:rPr>
          <w:rFonts w:hint="eastAsia" w:ascii="宋体" w:hAnsi="宋体" w:cs="宋体"/>
          <w:color w:val="000000"/>
          <w:kern w:val="0"/>
          <w:sz w:val="24"/>
        </w:rPr>
        <w:t>供应商</w:t>
      </w:r>
      <w:r>
        <w:rPr>
          <w:rFonts w:hint="eastAsia" w:cs="宋体"/>
          <w:color w:val="000000" w:themeColor="text1"/>
          <w:sz w:val="24"/>
          <w14:textFill>
            <w14:solidFill>
              <w14:schemeClr w14:val="tx1"/>
            </w14:solidFill>
          </w14:textFill>
        </w:rPr>
        <w:t>采购项目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7"/>
        <w:widowControl w:val="0"/>
        <w:tabs>
          <w:tab w:val="left" w:pos="3420"/>
        </w:tabs>
        <w:spacing w:before="0" w:beforeAutospacing="0" w:after="0" w:afterAutospacing="0" w:line="360" w:lineRule="exact"/>
        <w:ind w:firstLine="482" w:firstLineChars="200"/>
        <w:jc w:val="both"/>
        <w:rPr>
          <w:rFonts w:cs="宋体"/>
          <w:b/>
          <w:color w:val="000000" w:themeColor="text1"/>
          <w:highlight w:val="lightGray"/>
          <w14:textFill>
            <w14:solidFill>
              <w14:schemeClr w14:val="tx1"/>
            </w14:solidFill>
          </w14:textFill>
        </w:rPr>
      </w:pPr>
      <w:r>
        <w:rPr>
          <w:rFonts w:hint="eastAsia" w:cs="宋体"/>
          <w:b/>
          <w:color w:val="000000" w:themeColor="text1"/>
          <w14:textFill>
            <w14:solidFill>
              <w14:schemeClr w14:val="tx1"/>
            </w14:solidFill>
          </w14:textFill>
        </w:rPr>
        <w:t>1、五金材料名称、规格性能、品牌及报价</w:t>
      </w:r>
    </w:p>
    <w:tbl>
      <w:tblPr>
        <w:tblStyle w:val="19"/>
        <w:tblW w:w="10132" w:type="dxa"/>
        <w:tblInd w:w="-287" w:type="dxa"/>
        <w:tblLayout w:type="fixed"/>
        <w:tblCellMar>
          <w:top w:w="0" w:type="dxa"/>
          <w:left w:w="108" w:type="dxa"/>
          <w:bottom w:w="0" w:type="dxa"/>
          <w:right w:w="108" w:type="dxa"/>
        </w:tblCellMar>
      </w:tblPr>
      <w:tblGrid>
        <w:gridCol w:w="809"/>
        <w:gridCol w:w="1533"/>
        <w:gridCol w:w="1167"/>
        <w:gridCol w:w="875"/>
        <w:gridCol w:w="1234"/>
        <w:gridCol w:w="1119"/>
        <w:gridCol w:w="668"/>
        <w:gridCol w:w="777"/>
        <w:gridCol w:w="914"/>
        <w:gridCol w:w="1036"/>
      </w:tblGrid>
      <w:tr>
        <w:tblPrEx>
          <w:tblCellMar>
            <w:top w:w="0" w:type="dxa"/>
            <w:left w:w="108" w:type="dxa"/>
            <w:bottom w:w="0" w:type="dxa"/>
            <w:right w:w="108" w:type="dxa"/>
          </w:tblCellMar>
        </w:tblPrEx>
        <w:trPr>
          <w:trHeight w:val="573"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物品名称</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规格型号</w:t>
            </w:r>
          </w:p>
        </w:tc>
        <w:tc>
          <w:tcPr>
            <w:tcW w:w="322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品牌</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ind w:left="200" w:hanging="200" w:hanging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30-35</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实木门锁体</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永绅</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安强</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金美意</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德亚龙</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厕所门合页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120*35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100*30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100mm</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铝合金窗扣(材质合金铝)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优惠后报价汇总/元</w:t>
            </w:r>
          </w:p>
        </w:tc>
        <w:tc>
          <w:tcPr>
            <w:tcW w:w="6754"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before="60" w:after="80" w:line="360" w:lineRule="auto"/>
        <w:jc w:val="left"/>
        <w:rPr>
          <w:lang w:bidi="ar"/>
        </w:rPr>
      </w:pPr>
      <w:bookmarkStart w:id="6" w:name="_Hlk169257340"/>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7" w:name="_Hlk169256993"/>
      <w:bookmarkStart w:id="8" w:name="_Hlk169257368"/>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7"/>
      <w:r>
        <w:rPr>
          <w:rFonts w:hint="eastAsia" w:ascii="宋体" w:hAnsi="宋体" w:cs="宋体"/>
          <w:color w:val="FF0000"/>
          <w:kern w:val="0"/>
          <w:szCs w:val="21"/>
        </w:rPr>
        <w:t>[分项报价×（1-优惠率）]</w:t>
      </w:r>
    </w:p>
    <w:bookmarkEnd w:id="6"/>
    <w:bookmarkEnd w:id="8"/>
    <w:p>
      <w:pPr>
        <w:spacing w:before="156" w:beforeLines="50" w:line="360" w:lineRule="auto"/>
        <w:ind w:firstLine="482" w:firstLineChars="200"/>
        <w:rPr>
          <w:rFonts w:ascii="宋体" w:hAnsi="宋体" w:cs="宋体"/>
          <w:b/>
          <w:color w:val="000000" w:themeColor="text1"/>
          <w:sz w:val="24"/>
          <w:highlight w:val="lightGray"/>
          <w14:textFill>
            <w14:solidFill>
              <w14:schemeClr w14:val="tx1"/>
            </w14:solidFill>
          </w14:textFill>
        </w:rPr>
      </w:pPr>
      <w:r>
        <w:rPr>
          <w:rFonts w:hint="eastAsia" w:cs="宋体"/>
          <w:b/>
          <w:color w:val="000000" w:themeColor="text1"/>
          <w:sz w:val="24"/>
          <w:lang w:bidi="ar"/>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日杂及木质材料名称、规格性能、品牌及报价</w:t>
      </w:r>
    </w:p>
    <w:tbl>
      <w:tblPr>
        <w:tblStyle w:val="19"/>
        <w:tblpPr w:leftFromText="180" w:rightFromText="180" w:vertAnchor="text" w:horzAnchor="page" w:tblpX="1018" w:tblpY="460"/>
        <w:tblOverlap w:val="never"/>
        <w:tblW w:w="10173" w:type="dxa"/>
        <w:tblInd w:w="0" w:type="dxa"/>
        <w:tblLayout w:type="fixed"/>
        <w:tblCellMar>
          <w:top w:w="0" w:type="dxa"/>
          <w:left w:w="0" w:type="dxa"/>
          <w:bottom w:w="0" w:type="dxa"/>
          <w:right w:w="0" w:type="dxa"/>
        </w:tblCellMar>
      </w:tblPr>
      <w:tblGrid>
        <w:gridCol w:w="586"/>
        <w:gridCol w:w="1446"/>
        <w:gridCol w:w="2227"/>
        <w:gridCol w:w="1022"/>
        <w:gridCol w:w="887"/>
        <w:gridCol w:w="927"/>
        <w:gridCol w:w="569"/>
        <w:gridCol w:w="668"/>
        <w:gridCol w:w="791"/>
        <w:gridCol w:w="1050"/>
      </w:tblGrid>
      <w:tr>
        <w:tblPrEx>
          <w:tblCellMar>
            <w:top w:w="0" w:type="dxa"/>
            <w:left w:w="0" w:type="dxa"/>
            <w:bottom w:w="0" w:type="dxa"/>
            <w:right w:w="0" w:type="dxa"/>
          </w:tblCellMar>
        </w:tblPrEx>
        <w:trPr>
          <w:trHeight w:val="69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物品名称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p>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w:t>
            </w:r>
          </w:p>
          <w:p>
            <w:pPr>
              <w:widowControl/>
              <w:textAlignment w:val="center"/>
              <w:rPr>
                <w:rFonts w:ascii="宋体" w:hAnsi="宋体" w:cs="宋体"/>
                <w:color w:val="000000" w:themeColor="text1"/>
                <w:kern w:val="0"/>
                <w:szCs w:val="21"/>
                <w14:textFill>
                  <w14:solidFill>
                    <w14:schemeClr w14:val="tx1"/>
                  </w14:solidFill>
                </w14:textFill>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7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优惠率</w:t>
            </w: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海棉拖把</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pp/pvA/不锈钢38cm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好媳妇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妙雅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棉布拖把</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纯棉布条手工订制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抹布</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35x75纳米磨毛</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鸟王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棉之情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红日</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编织袋</w:t>
            </w:r>
            <w:r>
              <w:rPr>
                <w:rFonts w:hint="eastAsia" w:ascii="宋体" w:hAnsi="宋体" w:cs="宋体"/>
                <w:color w:val="000000"/>
                <w:kern w:val="0"/>
                <w:sz w:val="20"/>
                <w:szCs w:val="20"/>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80㎝涂塑材料制防水帆布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象肚</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炫亮</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优芬</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背心式塑料垃圾袋</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35*56*3丝，材质PE-HD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吉祥如意</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金悦</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洁乐惠</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扫把簸箕套装</w:t>
            </w:r>
            <w:r>
              <w:rPr>
                <w:rFonts w:hint="eastAsia" w:ascii="宋体" w:hAnsi="宋体" w:cs="宋体"/>
                <w:color w:val="000000"/>
                <w:kern w:val="0"/>
                <w:sz w:val="20"/>
                <w:szCs w:val="20"/>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PP十PET十钢管</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常规</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得翔</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家杰美</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791"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260L, 材质HDPE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140L,50*56*78cm,HDPE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脚踏式双桶垃圾桶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20L*2,43*30*48，材质HD-PE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小垃圾篓</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家和</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镂空特厚防滑脚垫</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15*1.2m PVC材质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凯琳</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三G</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华亿</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两分类不锈钢双桶垃圾箱</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100*36*98,304不锈钢材质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免漆生态板</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1.22*2.44、E。环保生态板</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大丰</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莫干山</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爱尚林韵</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709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bl>
    <w:p>
      <w:pPr>
        <w:spacing w:before="60" w:after="80" w:line="360" w:lineRule="auto"/>
        <w:jc w:val="left"/>
        <w:rPr>
          <w:lang w:bidi="ar"/>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采购方、供应商约定：乙方向甲方提供的建材日杂依下述原则来确定产品的价格并结算货物价款：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4、在满足前述第1、2、3款条件之前提下，甲方对乙方所供产品每季度按投标货物总价值的总优惠率结算货物价款。</w:t>
      </w:r>
    </w:p>
    <w:p>
      <w:pPr>
        <w:autoSpaceDE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、所供产品是全新的一线优质后勤指定的环保品牌，是用一流的工艺和最佳材料制造而成的正品。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3、产品的价格为到岸价、含税价，即乙方所供产品的价格中已包含货款、运输装卸费、税费、保管费、保险费、保管费等，甲方不再支付其他任何费用。</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rFonts w:hint="eastAsia" w:ascii="微软雅黑" w:hAnsi="微软雅黑" w:eastAsia="微软雅黑" w:cs="微软雅黑"/>
          <w:b/>
          <w:bCs/>
          <w:sz w:val="24"/>
        </w:rPr>
        <w:t>★</w:t>
      </w:r>
      <w:r>
        <w:rPr>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、投标时需提供带</w:t>
      </w:r>
      <w:r>
        <w:rPr>
          <w:rFonts w:hint="eastAsia" w:ascii="微软雅黑" w:hAnsi="微软雅黑" w:eastAsia="微软雅黑" w:cs="微软雅黑"/>
          <w:b/>
          <w:bCs/>
          <w:sz w:val="24"/>
        </w:rPr>
        <w:t>★</w:t>
      </w:r>
      <w:r>
        <w:rPr>
          <w:rFonts w:hint="eastAsia" w:ascii="宋体" w:hAnsi="宋体" w:cs="宋体"/>
          <w:b/>
          <w:bCs/>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Calibri" w:hAnsi="Calibri"/>
          <w:sz w:val="24"/>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sz w:val="24"/>
        </w:rPr>
      </w:pPr>
      <w:r>
        <w:rPr>
          <w:rFonts w:hint="eastAsia" w:ascii="宋体" w:hAnsi="宋体" w:cs="宋体"/>
          <w:sz w:val="24"/>
        </w:rPr>
        <w:t>3、乙方指定的收款帐户为：</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spacing w:line="360" w:lineRule="auto"/>
        <w:ind w:firstLine="480" w:firstLineChars="200"/>
        <w:rPr>
          <w:rFonts w:ascii="黑体" w:hAnsi="黑体" w:eastAsia="黑体" w:cs="黑体"/>
          <w:b/>
          <w:color w:val="000000"/>
          <w:kern w:val="0"/>
          <w:sz w:val="24"/>
        </w:rPr>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sz w:val="24"/>
        </w:rPr>
      </w:pPr>
      <w:r>
        <w:rPr>
          <w:rFonts w:hint="eastAsia" w:ascii="宋体" w:hAnsi="宋体" w:cs="宋体"/>
          <w:b/>
          <w:bCs/>
          <w:sz w:val="24"/>
        </w:rPr>
        <w:t>第九条 投标样品</w:t>
      </w:r>
    </w:p>
    <w:p>
      <w:pPr>
        <w:topLinePunct/>
        <w:spacing w:line="360" w:lineRule="auto"/>
        <w:ind w:firstLine="480" w:firstLineChars="200"/>
        <w:jc w:val="left"/>
        <w:rPr>
          <w:rFonts w:ascii="宋体" w:hAnsi="宋体" w:cs="宋体"/>
          <w:sz w:val="24"/>
        </w:rPr>
      </w:pPr>
      <w:r>
        <w:rPr>
          <w:rFonts w:hint="eastAsia" w:ascii="宋体" w:hAnsi="宋体" w:cs="宋体"/>
          <w:sz w:val="24"/>
        </w:rPr>
        <w:t>1、本项目需提供以下样品：扫把簸箕套装（一套）、编织袋（1个）、全铜锁芯（一个）、不锈钢手提门锁（一个）</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、样品单独封装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每个样品贴上单位标签</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、采购人对投标人所递交样品的破损或质量不负任何责任，未中标的投标人样品招标人于开标活动结束后及时退还，3日内未领走的，采购人有权自行处置。</w:t>
      </w:r>
    </w:p>
    <w:p>
      <w:pPr>
        <w:topLinePunct/>
        <w:spacing w:line="360" w:lineRule="auto"/>
        <w:ind w:firstLine="480" w:firstLineChars="200"/>
        <w:jc w:val="left"/>
        <w:rPr>
          <w:rFonts w:ascii="宋体" w:hAnsi="宋体" w:cs="宋体"/>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pStyle w:val="2"/>
        <w:rPr>
          <w:rFonts w:hint="eastAsia" w:ascii="黑体" w:hAnsi="黑体" w:eastAsia="黑体" w:cs="黑体"/>
          <w:b/>
          <w:color w:val="000000"/>
          <w:kern w:val="0"/>
          <w:sz w:val="24"/>
        </w:rPr>
      </w:pPr>
    </w:p>
    <w:p>
      <w:pPr>
        <w:rPr>
          <w:rFonts w:hint="eastAsia" w:ascii="黑体" w:hAnsi="黑体" w:eastAsia="黑体" w:cs="黑体"/>
          <w:b/>
          <w:color w:val="000000"/>
          <w:kern w:val="0"/>
          <w:sz w:val="24"/>
        </w:rPr>
      </w:pPr>
    </w:p>
    <w:p>
      <w:pPr>
        <w:pStyle w:val="2"/>
        <w:rPr>
          <w:rFonts w:hint="eastAsia" w:ascii="黑体" w:hAnsi="黑体" w:eastAsia="黑体" w:cs="黑体"/>
          <w:b/>
          <w:color w:val="000000"/>
          <w:kern w:val="0"/>
          <w:sz w:val="24"/>
        </w:rPr>
      </w:pPr>
    </w:p>
    <w:p>
      <w:pPr>
        <w:rPr>
          <w:rFonts w:hint="eastAsia"/>
        </w:rPr>
      </w:pPr>
      <w:bookmarkStart w:id="15" w:name="_GoBack"/>
      <w:bookmarkEnd w:id="15"/>
    </w:p>
    <w:p>
      <w:pPr>
        <w:topLinePunct/>
        <w:spacing w:line="360" w:lineRule="auto"/>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s="宋体"/>
          <w:color w:val="000000"/>
          <w:sz w:val="24"/>
        </w:rPr>
      </w:pPr>
      <w:r>
        <w:rPr>
          <w:rFonts w:hint="eastAsia" w:ascii="宋体" w:hAnsi="宋体"/>
          <w:color w:val="000000"/>
          <w:szCs w:val="21"/>
        </w:rPr>
        <w:t xml:space="preserve">                                                               金额单位：人民币元</w:t>
      </w:r>
    </w:p>
    <w:tbl>
      <w:tblPr>
        <w:tblStyle w:val="19"/>
        <w:tblW w:w="10132" w:type="dxa"/>
        <w:tblInd w:w="-287" w:type="dxa"/>
        <w:tblLayout w:type="fixed"/>
        <w:tblCellMar>
          <w:top w:w="0" w:type="dxa"/>
          <w:left w:w="108" w:type="dxa"/>
          <w:bottom w:w="0" w:type="dxa"/>
          <w:right w:w="108" w:type="dxa"/>
        </w:tblCellMar>
      </w:tblPr>
      <w:tblGrid>
        <w:gridCol w:w="809"/>
        <w:gridCol w:w="1533"/>
        <w:gridCol w:w="1167"/>
        <w:gridCol w:w="875"/>
        <w:gridCol w:w="1234"/>
        <w:gridCol w:w="1119"/>
        <w:gridCol w:w="668"/>
        <w:gridCol w:w="777"/>
        <w:gridCol w:w="914"/>
        <w:gridCol w:w="1036"/>
      </w:tblGrid>
      <w:tr>
        <w:tblPrEx>
          <w:tblCellMar>
            <w:top w:w="0" w:type="dxa"/>
            <w:left w:w="108" w:type="dxa"/>
            <w:bottom w:w="0" w:type="dxa"/>
            <w:right w:w="108" w:type="dxa"/>
          </w:tblCellMar>
        </w:tblPrEx>
        <w:trPr>
          <w:trHeight w:val="573"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物品名称</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规格型号</w:t>
            </w:r>
          </w:p>
        </w:tc>
        <w:tc>
          <w:tcPr>
            <w:tcW w:w="322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品牌</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ind w:left="200" w:hanging="200" w:hanging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尚美佳</w:t>
            </w:r>
          </w:p>
        </w:tc>
        <w:tc>
          <w:tcPr>
            <w:tcW w:w="1119"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环盾</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30-35</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实木门锁体</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永绅</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安强</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金美意</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德亚龙</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厕所门合页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120*35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100*30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100mm</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美芯盾</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云牛</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铝合金窗扣(材质合金铝)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飞洋</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富申</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报价汇总/元</w:t>
            </w:r>
          </w:p>
        </w:tc>
        <w:tc>
          <w:tcPr>
            <w:tcW w:w="6754"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before="60" w:after="80" w:line="360" w:lineRule="auto"/>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1"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1"/>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
      <w:pPr>
        <w:adjustRightInd w:val="0"/>
        <w:snapToGrid w:val="0"/>
        <w:spacing w:before="156" w:beforeLines="50"/>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before="156" w:beforeLines="50"/>
        <w:jc w:val="center"/>
        <w:rPr>
          <w:rFonts w:ascii="宋体" w:hAnsi="宋体"/>
          <w:color w:val="000000"/>
          <w:szCs w:val="21"/>
        </w:rPr>
      </w:pPr>
      <w:r>
        <w:rPr>
          <w:rFonts w:hint="eastAsia" w:ascii="微软雅黑" w:hAnsi="微软雅黑" w:eastAsia="微软雅黑" w:cs="微软雅黑"/>
          <w:b/>
          <w:color w:val="000000"/>
          <w:sz w:val="28"/>
          <w:szCs w:val="28"/>
        </w:rPr>
        <w:t xml:space="preserve">                                                                   </w:t>
      </w:r>
      <w:r>
        <w:rPr>
          <w:rFonts w:hint="eastAsia" w:ascii="宋体" w:hAnsi="宋体"/>
          <w:color w:val="000000"/>
          <w:szCs w:val="21"/>
        </w:rPr>
        <w:t xml:space="preserve">  金额单位：人民币元</w:t>
      </w:r>
    </w:p>
    <w:tbl>
      <w:tblPr>
        <w:tblStyle w:val="19"/>
        <w:tblW w:w="10307" w:type="dxa"/>
        <w:tblInd w:w="-366" w:type="dxa"/>
        <w:tblLayout w:type="fixed"/>
        <w:tblCellMar>
          <w:top w:w="0" w:type="dxa"/>
          <w:left w:w="0" w:type="dxa"/>
          <w:bottom w:w="0" w:type="dxa"/>
          <w:right w:w="0" w:type="dxa"/>
        </w:tblCellMar>
      </w:tblPr>
      <w:tblGrid>
        <w:gridCol w:w="497"/>
        <w:gridCol w:w="1732"/>
        <w:gridCol w:w="2004"/>
        <w:gridCol w:w="914"/>
        <w:gridCol w:w="818"/>
        <w:gridCol w:w="845"/>
        <w:gridCol w:w="723"/>
        <w:gridCol w:w="791"/>
        <w:gridCol w:w="995"/>
        <w:gridCol w:w="988"/>
      </w:tblGrid>
      <w:tr>
        <w:tblPrEx>
          <w:tblCellMar>
            <w:top w:w="0" w:type="dxa"/>
            <w:left w:w="0" w:type="dxa"/>
            <w:bottom w:w="0" w:type="dxa"/>
            <w:right w:w="0" w:type="dxa"/>
          </w:tblCellMar>
        </w:tblPrEx>
        <w:trPr>
          <w:trHeight w:val="4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物品名称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25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优惠率</w:t>
            </w: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海棉拖把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pp/pvA/不锈钢38cm</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好媳妇</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妙雅</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99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棉布拖把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纯棉布条手工订制</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抹布</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35x75纳米磨毛</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szCs w:val="21"/>
                <w:lang w:eastAsia="zh-CN"/>
              </w:rPr>
              <w:t>棉嘉棉</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棉之情</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红日</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编织袋</w:t>
            </w:r>
            <w:r>
              <w:rPr>
                <w:rFonts w:hint="eastAsia" w:ascii="宋体" w:hAnsi="宋体" w:cs="宋体"/>
                <w:color w:val="000000"/>
                <w:kern w:val="0"/>
                <w:sz w:val="20"/>
                <w:szCs w:val="20"/>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80㎝涂塑材料制防水帆布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象肚</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炫亮</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优芬</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背心式塑料垃圾袋</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35*56*3丝，材质PE-HD</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吉祥如意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金悦</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洁乐惠</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扫把簸箕套装</w:t>
            </w:r>
            <w:r>
              <w:rPr>
                <w:rFonts w:hint="eastAsia" w:ascii="宋体" w:hAnsi="宋体" w:cs="宋体"/>
                <w:color w:val="000000"/>
                <w:kern w:val="0"/>
                <w:sz w:val="20"/>
                <w:szCs w:val="20"/>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PP十PET十钢管</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得翔</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val="en-US" w:eastAsia="zh-CN"/>
              </w:rPr>
              <w:t>喜跃</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260L, 材质HDPE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eastAsia="zh-CN"/>
              </w:rPr>
              <w:t>丽天</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140L,50*56*78cm,HDPE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eastAsia="zh-CN"/>
              </w:rPr>
              <w:t>丽天</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脚踏式双桶垃圾桶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20L*2,43*30*48，材质HD-PE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lang w:eastAsia="zh-CN"/>
              </w:rPr>
              <w:t>凯迪</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品彩</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小垃圾篓</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家和</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镂空特厚防滑脚垫</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15*1.2m PVC材质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凯琳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三G</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华亿</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两分类不锈钢双桶垃圾箱</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100*36*98,304不锈钢材质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迈创</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免漆生态板</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1.22*2.44、E。环保生态板</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万象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兔宝宝</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70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bl>
    <w:p>
      <w:pPr>
        <w:spacing w:before="60" w:after="80"/>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u w:val="single"/>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黑体" w:hAnsi="黑体" w:eastAsia="黑体" w:cs="黑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2" w:name="OLE_LINK1"/>
      <w:r>
        <w:rPr>
          <w:rFonts w:hint="eastAsia" w:ascii="宋体" w:hAnsi="宋体" w:cs="宋体"/>
          <w:sz w:val="24"/>
        </w:rPr>
        <w:t>盖投标单位公章</w:t>
      </w:r>
      <w:bookmarkEnd w:id="12"/>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3" w:name="OLE_LINK3"/>
      <w:r>
        <w:rPr>
          <w:rFonts w:hint="eastAsia" w:ascii="宋体" w:hAnsi="宋体" w:cs="宋体"/>
          <w:sz w:val="24"/>
        </w:rPr>
        <w:t>投标单位</w:t>
      </w:r>
      <w:bookmarkEnd w:id="13"/>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4" w:name="_Hlk160818547"/>
      <w:r>
        <w:rPr>
          <w:rFonts w:hint="eastAsia" w:ascii="仿宋" w:hAnsi="仿宋" w:eastAsia="仿宋" w:cs="仿宋"/>
          <w:b/>
          <w:bCs/>
          <w:sz w:val="28"/>
          <w:szCs w:val="28"/>
        </w:rPr>
        <w:t>评分标准</w:t>
      </w:r>
      <w:bookmarkEnd w:id="14"/>
    </w:p>
    <w:tbl>
      <w:tblPr>
        <w:tblStyle w:val="19"/>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以经评审满足比选文件要求且投标价格（</w:t>
            </w:r>
            <w:r>
              <w:rPr>
                <w:rFonts w:hint="eastAsia" w:hAnsi="仿宋_GB2312" w:cs="仿宋_GB2312"/>
                <w:sz w:val="24"/>
                <w:highlight w:val="green"/>
              </w:rPr>
              <w:t>两个表报价总价之和</w:t>
            </w:r>
            <w:r>
              <w:rPr>
                <w:rFonts w:hint="eastAsia" w:hAnsi="仿宋_GB2312" w:cs="仿宋_GB2312"/>
                <w:sz w:val="24"/>
              </w:rPr>
              <w:t xml:space="preserve">）最低的投标报价（折扣率最低）为评标基准价，其价格得分计30分。其他供应商的价格得分统一按公式计算：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
              <w:rPr>
                <w:rFonts w:hAnsi="仿宋_GB2312" w:cs="仿宋_GB2312"/>
                <w:sz w:val="24"/>
              </w:rPr>
            </w:pPr>
            <w:r>
              <w:rPr>
                <w:rFonts w:hint="eastAsia" w:hAnsi="仿宋_GB2312" w:cs="仿宋_GB2312"/>
                <w:sz w:val="24"/>
              </w:rPr>
              <w:t>产品综合选型（20分）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根据投标人提供的所投主要产品（至少包含所有样品）的彩页、产品检测报告或产品说明书，以及货物来源渠道等相关证明材料对所投产品的技术先进性、综合性能、安全性能等进行综合评分：</w:t>
            </w:r>
          </w:p>
          <w:p>
            <w:pPr>
              <w:spacing w:line="400" w:lineRule="exact"/>
              <w:jc w:val="left"/>
              <w:rPr>
                <w:rFonts w:hAnsi="仿宋_GB2312" w:cs="仿宋_GB2312"/>
                <w:sz w:val="24"/>
              </w:rPr>
            </w:pPr>
            <w:r>
              <w:rPr>
                <w:rFonts w:hint="eastAsia" w:hAnsi="仿宋_GB2312" w:cs="仿宋_GB2312"/>
                <w:sz w:val="24"/>
              </w:rPr>
              <w:t>1）由评标委员会根据所投主要产品彩页、检测报告、产品说明书等相关证明材料对所投产品的技术先进性、综合性能、安全性能横向对比计分：</w:t>
            </w:r>
          </w:p>
          <w:p>
            <w:pPr>
              <w:spacing w:line="400" w:lineRule="exact"/>
              <w:jc w:val="left"/>
              <w:rPr>
                <w:rFonts w:hAnsi="仿宋_GB2312" w:cs="仿宋_GB2312"/>
                <w:sz w:val="24"/>
              </w:rPr>
            </w:pPr>
            <w:r>
              <w:rPr>
                <w:rFonts w:hint="eastAsia" w:hAnsi="仿宋_GB2312" w:cs="仿宋_GB2312"/>
                <w:sz w:val="24"/>
              </w:rPr>
              <w:t xml:space="preserve">1）产品技术先进、综合性能优、质量最优，完全满足用户需求的，进货渠道正规、畅通且货源稳定的，计20 分； </w:t>
            </w:r>
          </w:p>
          <w:p>
            <w:pPr>
              <w:spacing w:line="400" w:lineRule="exact"/>
              <w:jc w:val="left"/>
              <w:rPr>
                <w:rFonts w:hAnsi="仿宋_GB2312" w:cs="仿宋_GB2312"/>
                <w:sz w:val="24"/>
              </w:rPr>
            </w:pPr>
            <w:r>
              <w:rPr>
                <w:rFonts w:hint="eastAsia" w:hAnsi="仿宋_GB2312" w:cs="仿宋_GB2312"/>
                <w:sz w:val="24"/>
              </w:rPr>
              <w:t>2）产品技术较先进、综合性能较好、质量较好，基本满足用户需求的，进货渠道正规、畅通且货源较稳定的，计 15 分；</w:t>
            </w:r>
          </w:p>
          <w:p>
            <w:pPr>
              <w:spacing w:line="400" w:lineRule="exact"/>
              <w:jc w:val="left"/>
              <w:rPr>
                <w:rFonts w:hAnsi="仿宋_GB2312" w:cs="仿宋_GB2312"/>
                <w:sz w:val="24"/>
              </w:rPr>
            </w:pPr>
            <w:r>
              <w:rPr>
                <w:rFonts w:hint="eastAsia" w:hAnsi="仿宋_GB2312" w:cs="仿宋_GB2312"/>
                <w:sz w:val="24"/>
              </w:rPr>
              <w:t>3）产品技术综合性能一般、质量一般，大部分能满足用户需求的，进货渠道正规、货源稳定性一般的，计 10 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
              <w:rPr>
                <w:rFonts w:hAnsi="仿宋_GB2312" w:cs="仿宋_GB2312"/>
                <w:sz w:val="24"/>
              </w:rPr>
            </w:pPr>
            <w:r>
              <w:rPr>
                <w:rFonts w:hint="eastAsia" w:hAnsi="仿宋_GB2312" w:cs="仿宋_GB2312"/>
                <w:sz w:val="24"/>
              </w:rPr>
              <w:t>样品评价（15分）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评标委员会综合考虑各投标人样品的完整性、外观、材质、制作工艺水平、安全性、牢固性、设计合理及实用性、操作性，并结合现场情况，进行综合评分：</w:t>
            </w:r>
          </w:p>
          <w:p>
            <w:pPr>
              <w:spacing w:line="400" w:lineRule="exact"/>
              <w:jc w:val="left"/>
              <w:rPr>
                <w:rFonts w:hAnsi="仿宋_GB2312" w:cs="仿宋_GB2312"/>
                <w:sz w:val="24"/>
              </w:rPr>
            </w:pPr>
            <w:r>
              <w:rPr>
                <w:rFonts w:hint="eastAsia" w:hAnsi="仿宋_GB2312" w:cs="仿宋_GB2312"/>
                <w:sz w:val="24"/>
              </w:rPr>
              <w:t>1）样品组成完整，现场观测到的参数完全满足招标文件要求，制作工艺优，材质好、外观符合要求、安全性好，设计先进、操作及实用性强，现场测试无任何问题的，计 15 分；</w:t>
            </w:r>
          </w:p>
          <w:p>
            <w:pPr>
              <w:spacing w:line="400" w:lineRule="exact"/>
              <w:jc w:val="left"/>
              <w:rPr>
                <w:rFonts w:hAnsi="仿宋_GB2312" w:cs="仿宋_GB2312"/>
                <w:sz w:val="24"/>
              </w:rPr>
            </w:pPr>
            <w:r>
              <w:rPr>
                <w:rFonts w:hint="eastAsia" w:hAnsi="仿宋_GB2312" w:cs="仿宋_GB2312"/>
                <w:sz w:val="24"/>
              </w:rPr>
              <w:t>2）样品组成完整，现场观测到的技术参数满足招标文件要求，制作工艺良好，材质较好、外观符合要求、安全性较好，设计较好、操作及实用性较强，现场测试较好的，计 10分；</w:t>
            </w:r>
          </w:p>
          <w:p>
            <w:pPr>
              <w:spacing w:line="400" w:lineRule="exact"/>
              <w:jc w:val="left"/>
              <w:rPr>
                <w:rFonts w:hAnsi="仿宋_GB2312" w:cs="仿宋_GB2312"/>
                <w:sz w:val="24"/>
              </w:rPr>
            </w:pPr>
            <w:r>
              <w:rPr>
                <w:rFonts w:hint="eastAsia" w:hAnsi="仿宋_GB2312" w:cs="仿宋_GB2312"/>
                <w:sz w:val="24"/>
              </w:rPr>
              <w:t>3）样品组成基本完整，现场观测到的技术参数基本符合招标文件要求，制作工艺一般，外观符合要求，安全性一般，设计较好、操作及实用性一般的，现场测试效果一般的，计 5分；</w:t>
            </w:r>
          </w:p>
          <w:p>
            <w:pPr>
              <w:spacing w:line="400" w:lineRule="exact"/>
              <w:jc w:val="left"/>
              <w:rPr>
                <w:rFonts w:hAnsi="仿宋_GB2312" w:cs="仿宋_GB2312"/>
                <w:sz w:val="24"/>
              </w:rPr>
            </w:pPr>
            <w:r>
              <w:rPr>
                <w:rFonts w:hint="eastAsia" w:hAnsi="仿宋_GB2312" w:cs="仿宋_GB2312"/>
                <w:sz w:val="24"/>
              </w:rPr>
              <w:t>计分说明：未提交样品或提交的样品非招标采购的产品，样品组成有重大缺陷或现场使用发生故障、无法使用的，所交样品与投标文件不符的，均计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项目实施方案（10分）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根据投标人提供的项目实施方案（包括但不限于服务实施措施、配送流程、质量保障措施、应急服务预案等）进行综合评分：</w:t>
            </w:r>
          </w:p>
          <w:p>
            <w:pPr>
              <w:spacing w:line="400" w:lineRule="exact"/>
              <w:jc w:val="left"/>
              <w:rPr>
                <w:rFonts w:hAnsi="仿宋_GB2312" w:cs="仿宋_GB2312"/>
                <w:sz w:val="24"/>
              </w:rPr>
            </w:pPr>
            <w:r>
              <w:rPr>
                <w:rFonts w:hint="eastAsia" w:hAnsi="仿宋_GB2312" w:cs="仿宋_GB2312"/>
                <w:sz w:val="24"/>
              </w:rPr>
              <w:t>1）服务实施措施详细、合理，配送流程安排周密、质量保障措施科学，应急服务预案可操作性强的计10分；</w:t>
            </w:r>
          </w:p>
          <w:p>
            <w:pPr>
              <w:spacing w:line="400" w:lineRule="exact"/>
              <w:jc w:val="left"/>
              <w:rPr>
                <w:rFonts w:hAnsi="仿宋_GB2312" w:cs="仿宋_GB2312"/>
                <w:sz w:val="24"/>
              </w:rPr>
            </w:pPr>
            <w:r>
              <w:rPr>
                <w:rFonts w:hint="eastAsia" w:hAnsi="仿宋_GB2312" w:cs="仿宋_GB2312"/>
                <w:sz w:val="24"/>
              </w:rPr>
              <w:t>2）服务实施措施较详细、合理，配送流程较周密、质量保障措施较科学，应急服务预案可操作性较强的计7分；</w:t>
            </w:r>
          </w:p>
          <w:p>
            <w:pPr>
              <w:spacing w:line="400" w:lineRule="exact"/>
              <w:jc w:val="left"/>
              <w:rPr>
                <w:rFonts w:hAnsi="仿宋_GB2312" w:cs="仿宋_GB2312"/>
                <w:sz w:val="24"/>
              </w:rPr>
            </w:pPr>
            <w:r>
              <w:rPr>
                <w:rFonts w:hint="eastAsia" w:hAnsi="仿宋_GB2312" w:cs="仿宋_GB2312"/>
                <w:sz w:val="24"/>
              </w:rPr>
              <w:t>3）服务实施措施一般、配送流程一般、应急服务预案可操作性较一般的计4分；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配送车辆及专职人员</w:t>
            </w:r>
          </w:p>
          <w:p>
            <w:pPr>
              <w:spacing w:line="400" w:lineRule="exact"/>
              <w:jc w:val="center"/>
              <w:rPr>
                <w:rFonts w:hAnsi="仿宋_GB2312" w:cs="仿宋_GB2312"/>
                <w:sz w:val="24"/>
              </w:rPr>
            </w:pPr>
            <w:r>
              <w:rPr>
                <w:rFonts w:hint="eastAsia" w:hAnsi="仿宋_GB2312" w:cs="仿宋_GB2312"/>
                <w:sz w:val="24"/>
              </w:rPr>
              <w:t>（5分）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1）投标人具备自有且专门的配送物资车辆（数量至少1台），配置专职送货人员1名的计5分。</w:t>
            </w:r>
          </w:p>
          <w:p>
            <w:pPr>
              <w:spacing w:line="400" w:lineRule="exact"/>
              <w:jc w:val="left"/>
              <w:rPr>
                <w:rFonts w:hAnsi="仿宋_GB2312" w:cs="仿宋_GB2312"/>
                <w:sz w:val="24"/>
              </w:rPr>
            </w:pPr>
            <w:r>
              <w:rPr>
                <w:rFonts w:hint="eastAsia" w:hAnsi="仿宋_GB2312" w:cs="仿宋_GB2312"/>
                <w:sz w:val="24"/>
              </w:rPr>
              <w:t>2）投标人不具备自有配送车辆，但有租赁的车辆（数量至少1台）并配置专职送货人员1名的计2.5分。</w:t>
            </w:r>
          </w:p>
          <w:p>
            <w:pPr>
              <w:spacing w:line="400" w:lineRule="exact"/>
              <w:jc w:val="left"/>
              <w:rPr>
                <w:rFonts w:hAnsi="仿宋_GB2312" w:cs="仿宋_GB2312"/>
                <w:sz w:val="24"/>
              </w:rPr>
            </w:pPr>
            <w:r>
              <w:rPr>
                <w:rFonts w:hint="eastAsia" w:hAnsi="仿宋_GB2312" w:cs="仿宋_GB2312"/>
                <w:sz w:val="24"/>
              </w:rPr>
              <w:t>计分说明：本项最高计5分，上述配送车辆如为供应商自有的需提供车辆购置证明资料和送货人员的相关信息（姓名、联系电话）；车辆如为供应商租赁的，须提供车辆租赁协议和送货人员的相关信息（姓名、联系电话）；否则此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实施经验(成功案例)（10）</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投标人自2021年5月以来具有同类项目或类似项目实施经验，每提供一个项目成功案例的计2分，本项最高计10分。</w:t>
            </w:r>
          </w:p>
          <w:p>
            <w:pPr>
              <w:spacing w:line="400" w:lineRule="exact"/>
              <w:jc w:val="left"/>
              <w:rPr>
                <w:rFonts w:hAnsi="仿宋_GB2312" w:cs="仿宋_GB2312"/>
                <w:sz w:val="24"/>
              </w:rPr>
            </w:pPr>
            <w:r>
              <w:rPr>
                <w:rFonts w:hint="eastAsia" w:hAnsi="仿宋_GB2312" w:cs="仿宋_GB2312"/>
                <w:sz w:val="24"/>
              </w:rPr>
              <w:t>计分说明：供应商须在投标文件中提供合同文本复印件,否则应计分项计0分，相同采购单位只按一个计算。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体系认证</w:t>
            </w:r>
          </w:p>
          <w:p>
            <w:pPr>
              <w:spacing w:line="400" w:lineRule="exact"/>
              <w:jc w:val="center"/>
              <w:rPr>
                <w:rFonts w:hAnsi="仿宋_GB2312" w:cs="仿宋_GB2312"/>
                <w:sz w:val="24"/>
              </w:rPr>
            </w:pPr>
            <w:r>
              <w:rPr>
                <w:rFonts w:hint="eastAsia" w:hAnsi="仿宋_GB2312" w:cs="仿宋_GB2312"/>
                <w:sz w:val="24"/>
              </w:rPr>
              <w:t>（3分）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投标人具有并提供质量管理体系认证证书、环境管理体系认证证书、职业健康管理体系认证证书的计1分/项，最高计3分。</w:t>
            </w:r>
          </w:p>
          <w:p>
            <w:pPr>
              <w:spacing w:line="400" w:lineRule="exact"/>
              <w:jc w:val="left"/>
              <w:rPr>
                <w:rFonts w:hAnsi="仿宋_GB2312" w:cs="仿宋_GB2312"/>
                <w:sz w:val="24"/>
              </w:rPr>
            </w:pPr>
            <w:r>
              <w:rPr>
                <w:rFonts w:hint="eastAsia" w:hAnsi="仿宋_GB2312" w:cs="仿宋_GB2312"/>
                <w:sz w:val="24"/>
              </w:rPr>
              <w:t>计分说明：投标文件中须提供认证证书的复印件并加盖公章，否则应计分项计0分。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售后维护服务（7分）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根据投标人提供的售后维护服务方案（包括但不限于：售后服务承诺、售后服务体系、售后服务团队、响应时间、应急维修措施等）进行综合评分：</w:t>
            </w:r>
          </w:p>
          <w:p>
            <w:pPr>
              <w:spacing w:line="400" w:lineRule="exact"/>
              <w:jc w:val="left"/>
              <w:rPr>
                <w:rFonts w:hAnsi="仿宋_GB2312" w:cs="仿宋_GB2312"/>
                <w:sz w:val="24"/>
              </w:rPr>
            </w:pPr>
            <w:r>
              <w:rPr>
                <w:rFonts w:hint="eastAsia" w:hAnsi="仿宋_GB2312" w:cs="仿宋_GB2312"/>
                <w:sz w:val="24"/>
              </w:rPr>
              <w:t>1）售后维护服务方案详细、科学合理、操作性及针对性强的计7分；</w:t>
            </w:r>
          </w:p>
          <w:p>
            <w:pPr>
              <w:spacing w:line="400" w:lineRule="exact"/>
              <w:jc w:val="left"/>
              <w:rPr>
                <w:rFonts w:hAnsi="仿宋_GB2312" w:cs="仿宋_GB2312"/>
                <w:sz w:val="24"/>
              </w:rPr>
            </w:pPr>
            <w:r>
              <w:rPr>
                <w:rFonts w:hint="eastAsia" w:hAnsi="仿宋_GB2312" w:cs="仿宋_GB2312"/>
                <w:sz w:val="24"/>
              </w:rPr>
              <w:t>2）售后维护服务方案较详细、较合理、操作性及针对性较强的计4分；</w:t>
            </w:r>
          </w:p>
          <w:p>
            <w:pPr>
              <w:spacing w:line="400" w:lineRule="exact"/>
              <w:jc w:val="left"/>
              <w:rPr>
                <w:rFonts w:hAnsi="仿宋_GB2312" w:cs="仿宋_GB2312"/>
                <w:sz w:val="24"/>
              </w:rPr>
            </w:pPr>
            <w:r>
              <w:rPr>
                <w:rFonts w:hint="eastAsia" w:hAnsi="仿宋_GB2312" w:cs="仿宋_GB2312"/>
                <w:sz w:val="24"/>
              </w:rPr>
              <w:t>3）售后维护服务方案简单、欠合理、操作性及针对性一般的计1分；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55D4A"/>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E0833"/>
    <w:rsid w:val="007E2D27"/>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6087D"/>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93926A6"/>
    <w:rsid w:val="0C446C4A"/>
    <w:rsid w:val="0D3317AF"/>
    <w:rsid w:val="0F081287"/>
    <w:rsid w:val="111451B1"/>
    <w:rsid w:val="11AA79EB"/>
    <w:rsid w:val="11C702E0"/>
    <w:rsid w:val="12476873"/>
    <w:rsid w:val="13AD22D8"/>
    <w:rsid w:val="13FA30C4"/>
    <w:rsid w:val="145F6D78"/>
    <w:rsid w:val="14ED3D4F"/>
    <w:rsid w:val="15DD1DF8"/>
    <w:rsid w:val="1703305D"/>
    <w:rsid w:val="19996254"/>
    <w:rsid w:val="1B943177"/>
    <w:rsid w:val="1C0E2CEB"/>
    <w:rsid w:val="1C6019B5"/>
    <w:rsid w:val="1CB15175"/>
    <w:rsid w:val="1D4871EB"/>
    <w:rsid w:val="1DED3012"/>
    <w:rsid w:val="1E6A6074"/>
    <w:rsid w:val="21482DD7"/>
    <w:rsid w:val="215D592A"/>
    <w:rsid w:val="24AC4A25"/>
    <w:rsid w:val="26A54C67"/>
    <w:rsid w:val="2A166BC1"/>
    <w:rsid w:val="2D6F69C0"/>
    <w:rsid w:val="31647D66"/>
    <w:rsid w:val="358A2DE4"/>
    <w:rsid w:val="36993C98"/>
    <w:rsid w:val="36A42976"/>
    <w:rsid w:val="371A4C8C"/>
    <w:rsid w:val="3744399B"/>
    <w:rsid w:val="38136454"/>
    <w:rsid w:val="3AE971A8"/>
    <w:rsid w:val="3B0F6ACC"/>
    <w:rsid w:val="3BEE6177"/>
    <w:rsid w:val="3D422619"/>
    <w:rsid w:val="3EC5400E"/>
    <w:rsid w:val="3EEF109D"/>
    <w:rsid w:val="40E43974"/>
    <w:rsid w:val="40E616BA"/>
    <w:rsid w:val="433D6BDD"/>
    <w:rsid w:val="4349552E"/>
    <w:rsid w:val="4390748B"/>
    <w:rsid w:val="45EE264F"/>
    <w:rsid w:val="47EE40E5"/>
    <w:rsid w:val="47F87C39"/>
    <w:rsid w:val="49CA0BFE"/>
    <w:rsid w:val="49FF0303"/>
    <w:rsid w:val="4A834B18"/>
    <w:rsid w:val="4B386DCB"/>
    <w:rsid w:val="507A645F"/>
    <w:rsid w:val="507C67F8"/>
    <w:rsid w:val="50C55DBA"/>
    <w:rsid w:val="53871716"/>
    <w:rsid w:val="53A33245"/>
    <w:rsid w:val="53B31AE1"/>
    <w:rsid w:val="54F16ABB"/>
    <w:rsid w:val="55603AEE"/>
    <w:rsid w:val="564B20A8"/>
    <w:rsid w:val="586340B6"/>
    <w:rsid w:val="597B5CF8"/>
    <w:rsid w:val="5CE13DF9"/>
    <w:rsid w:val="5D7E5824"/>
    <w:rsid w:val="5E524C34"/>
    <w:rsid w:val="5EB804F7"/>
    <w:rsid w:val="60C04E5C"/>
    <w:rsid w:val="62AD0052"/>
    <w:rsid w:val="62FF4946"/>
    <w:rsid w:val="645E6340"/>
    <w:rsid w:val="665146E0"/>
    <w:rsid w:val="66A61F9B"/>
    <w:rsid w:val="68175E2B"/>
    <w:rsid w:val="68320EBE"/>
    <w:rsid w:val="68840209"/>
    <w:rsid w:val="696372E0"/>
    <w:rsid w:val="6CCB679F"/>
    <w:rsid w:val="6D7825A4"/>
    <w:rsid w:val="6D8F68C7"/>
    <w:rsid w:val="7151042E"/>
    <w:rsid w:val="727C7561"/>
    <w:rsid w:val="7505283D"/>
    <w:rsid w:val="76A0780E"/>
    <w:rsid w:val="777D621D"/>
    <w:rsid w:val="7D415502"/>
    <w:rsid w:val="7EC116BC"/>
    <w:rsid w:val="7F081990"/>
    <w:rsid w:val="7F9E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autoRedefine/>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autoRedefine/>
    <w:semiHidden/>
    <w:unhideWhenUsed/>
    <w:qFormat/>
    <w:uiPriority w:val="0"/>
    <w:pPr>
      <w:jc w:val="left"/>
    </w:pPr>
  </w:style>
  <w:style w:type="paragraph" w:styleId="8">
    <w:name w:val="Body Text"/>
    <w:basedOn w:val="1"/>
    <w:link w:val="87"/>
    <w:autoRedefine/>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autoRedefine/>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autoRedefine/>
    <w:semiHidden/>
    <w:unhideWhenUsed/>
    <w:qFormat/>
    <w:uiPriority w:val="0"/>
    <w:rPr>
      <w:sz w:val="21"/>
      <w:szCs w:val="21"/>
    </w:rPr>
  </w:style>
  <w:style w:type="character" w:customStyle="1" w:styleId="27">
    <w:name w:val="style21"/>
    <w:autoRedefine/>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autoRedefine/>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Normal_4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26</Pages>
  <Words>13593</Words>
  <Characters>14225</Characters>
  <Lines>115</Lines>
  <Paragraphs>32</Paragraphs>
  <TotalTime>0</TotalTime>
  <ScaleCrop>false</ScaleCrop>
  <LinksUpToDate>false</LinksUpToDate>
  <CharactersWithSpaces>15046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2024-06-26T07:15:13Z</dcterms:modified>
  <dc:title>湖南科技大学2005-2006年教材招标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FFC84D6AC419408C8543C6D88F8F7068_13</vt:lpwstr>
  </property>
</Properties>
</file>