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ascii="黑体" w:hAnsi="黑体" w:eastAsia="黑体" w:cs="黑体"/>
          <w:b/>
          <w:bCs/>
          <w:sz w:val="52"/>
          <w:szCs w:val="52"/>
        </w:rPr>
        <w:t>办公用品、电脑耗材供应商采购</w:t>
      </w:r>
      <w:r>
        <w:rPr>
          <w:rFonts w:hint="eastAsia" w:eastAsia="黑体"/>
          <w:b/>
          <w:sz w:val="52"/>
          <w:szCs w:val="52"/>
        </w:rPr>
        <w:t>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办公用品、电脑耗材供应商采购项目比选公告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办公用品、电脑耗材供应商采购项目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办公用品、电脑耗材供应商采购项目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20万元</w:t>
      </w:r>
      <w:bookmarkEnd w:id="1"/>
    </w:p>
    <w:p>
      <w:pPr>
        <w:pStyle w:val="81"/>
        <w:widowControl/>
        <w:numPr>
          <w:ilvl w:val="1"/>
          <w:numId w:val="1"/>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auto"/>
          <w:kern w:val="0"/>
          <w:sz w:val="24"/>
          <w:highlight w:val="red"/>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color w:val="auto"/>
          <w:kern w:val="0"/>
          <w:sz w:val="24"/>
          <w:highlight w:val="none"/>
        </w:rPr>
        <w:t>2024年6月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日至2024年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日17：00止（工作日）；</w:t>
      </w:r>
      <w:bookmarkEnd w:id="3"/>
    </w:p>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w:t>
      </w:r>
      <w:r>
        <w:rPr>
          <w:rFonts w:hint="eastAsia" w:ascii="宋体" w:hAnsi="宋体" w:cs="宋体"/>
          <w:kern w:val="0"/>
          <w:sz w:val="24"/>
          <w:lang w:val="en-US" w:eastAsia="zh-CN"/>
        </w:rPr>
        <w:t>7</w:t>
      </w:r>
      <w:r>
        <w:rPr>
          <w:rFonts w:hint="eastAsia" w:ascii="宋体" w:hAnsi="宋体" w:cs="宋体"/>
          <w:kern w:val="0"/>
          <w:sz w:val="24"/>
        </w:rPr>
        <w:t>月</w:t>
      </w:r>
      <w:r>
        <w:rPr>
          <w:rFonts w:hint="eastAsia" w:ascii="宋体" w:hAnsi="宋体" w:cs="宋体"/>
          <w:kern w:val="0"/>
          <w:sz w:val="24"/>
          <w:lang w:val="en-US" w:eastAsia="zh-CN"/>
        </w:rPr>
        <w:t>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5"/>
        <w:ind w:firstLine="480"/>
        <w:rPr>
          <w:color w:val="000000"/>
        </w:rPr>
      </w:pPr>
    </w:p>
    <w:p>
      <w:pPr>
        <w:pStyle w:val="6"/>
        <w:rPr>
          <w:color w:val="000000"/>
        </w:rPr>
      </w:pPr>
    </w:p>
    <w:p>
      <w:pPr>
        <w:pStyle w:val="6"/>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8"/>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8"/>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办公用品、电脑耗材供应商采购项目合同书》。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20" w:firstLine="0" w:firstLineChars="0"/>
        <w:rPr>
          <w:rFonts w:ascii="宋体" w:hAnsi="宋体" w:cs="宋体"/>
          <w:bCs/>
          <w:color w:val="000000"/>
          <w:sz w:val="24"/>
        </w:rPr>
      </w:pPr>
      <w:r>
        <w:rPr>
          <w:rFonts w:hint="eastAsia" w:ascii="宋体" w:hAnsi="宋体" w:cs="宋体"/>
          <w:bCs/>
          <w:color w:val="000000"/>
          <w:sz w:val="24"/>
        </w:rPr>
        <w:t>项目慨况：</w:t>
      </w:r>
    </w:p>
    <w:p>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、项目名称：办公用品、电脑耗材供应商选定项目</w:t>
      </w:r>
    </w:p>
    <w:p>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8"/>
        <w:widowControl/>
        <w:spacing w:before="156" w:beforeLines="50" w:after="0"/>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1、办公用品名称、规格、品牌及报价</w:t>
      </w:r>
    </w:p>
    <w:tbl>
      <w:tblPr>
        <w:tblStyle w:val="19"/>
        <w:tblpPr w:leftFromText="180" w:rightFromText="180" w:vertAnchor="text" w:horzAnchor="page" w:tblpX="1154" w:tblpY="197"/>
        <w:tblOverlap w:val="never"/>
        <w:tblW w:w="10091" w:type="dxa"/>
        <w:tblInd w:w="0" w:type="dxa"/>
        <w:tblLayout w:type="fixed"/>
        <w:tblCellMar>
          <w:top w:w="0" w:type="dxa"/>
          <w:left w:w="108" w:type="dxa"/>
          <w:bottom w:w="0" w:type="dxa"/>
          <w:right w:w="108" w:type="dxa"/>
        </w:tblCellMar>
      </w:tblPr>
      <w:tblGrid>
        <w:gridCol w:w="668"/>
        <w:gridCol w:w="1541"/>
        <w:gridCol w:w="1706"/>
        <w:gridCol w:w="994"/>
        <w:gridCol w:w="906"/>
        <w:gridCol w:w="117"/>
        <w:gridCol w:w="886"/>
        <w:gridCol w:w="668"/>
        <w:gridCol w:w="777"/>
        <w:gridCol w:w="982"/>
        <w:gridCol w:w="846"/>
      </w:tblGrid>
      <w:tr>
        <w:tblPrEx>
          <w:tblCellMar>
            <w:top w:w="0" w:type="dxa"/>
            <w:left w:w="108" w:type="dxa"/>
            <w:bottom w:w="0" w:type="dxa"/>
            <w:right w:w="108" w:type="dxa"/>
          </w:tblCellMar>
        </w:tblPrEx>
        <w:trPr>
          <w:trHeight w:val="658"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序号</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货物名称</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规格型号</w:t>
            </w:r>
          </w:p>
        </w:tc>
        <w:tc>
          <w:tcPr>
            <w:tcW w:w="290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p>
          <w:p>
            <w:pPr>
              <w:widowControl/>
              <w:ind w:firstLine="1004" w:firstLineChars="500"/>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品牌</w:t>
            </w:r>
          </w:p>
          <w:p>
            <w:pPr>
              <w:widowControl/>
              <w:jc w:val="center"/>
              <w:textAlignment w:val="center"/>
              <w:rPr>
                <w:rFonts w:ascii="宋体" w:hAnsi="宋体" w:cs="楷体"/>
                <w:b/>
                <w:bCs/>
                <w:color w:val="000000" w:themeColor="text1"/>
                <w:kern w:val="0"/>
                <w:sz w:val="20"/>
                <w:szCs w:val="20"/>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单位</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数量</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100" w:hanging="100" w:hangingChars="50"/>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签字笔</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0.5/0.7</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宝克</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restart"/>
            <w:tcBorders>
              <w:top w:val="single" w:color="000000" w:sz="4" w:space="0"/>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中性笔</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三木</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7400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透明皂、香皂</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舒肤佳</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力士</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六神</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3"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毛巾</w:t>
            </w:r>
            <w:r>
              <w:rPr>
                <w:rFonts w:hint="eastAsia" w:ascii="宋体" w:hAnsi="宋体" w:cs="宋体"/>
                <w:color w:val="000000"/>
                <w:kern w:val="0"/>
                <w:sz w:val="20"/>
                <w:szCs w:val="20"/>
              </w:rPr>
              <w:t>★</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洁丽雅</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三利</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浮日</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4"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洗手液</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300ml</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威露士</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蓝月亮</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立白</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7"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茶叶</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一级绿茶200g</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古丈毛尖</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信阳毛尖</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珍颜牌富硒绿茶</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315</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抽纸</w:t>
            </w:r>
            <w:r>
              <w:rPr>
                <w:rFonts w:hint="eastAsia" w:ascii="宋体" w:hAnsi="宋体" w:cs="宋体"/>
                <w:color w:val="000000"/>
                <w:kern w:val="0"/>
                <w:sz w:val="20"/>
                <w:szCs w:val="20"/>
              </w:rPr>
              <w:t>★</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3包*210ml*600抽</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52"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卷纸</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12圈（3层*270段/圈）</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1706" w:type="dxa"/>
            <w:tcBorders>
              <w:top w:val="single" w:color="000000" w:sz="4" w:space="0"/>
              <w:left w:val="single" w:color="000000" w:sz="4" w:space="0"/>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1900" w:type="dxa"/>
            <w:gridSpan w:val="2"/>
            <w:tcBorders>
              <w:top w:val="single" w:color="000000" w:sz="4" w:space="0"/>
              <w:left w:val="nil"/>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3430" w:type="dxa"/>
            <w:gridSpan w:val="5"/>
            <w:tcBorders>
              <w:top w:val="single" w:color="000000" w:sz="4" w:space="0"/>
              <w:left w:val="nil"/>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46" w:type="dxa"/>
            <w:tcBorders>
              <w:top w:val="single" w:color="000000" w:sz="4" w:space="0"/>
              <w:left w:val="nil"/>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bl>
    <w:p>
      <w:pPr>
        <w:spacing w:before="60" w:after="80" w:line="360" w:lineRule="auto"/>
        <w:ind w:left="479" w:leftChars="228"/>
        <w:jc w:val="left"/>
        <w:rPr>
          <w:rFonts w:cs="宋体"/>
          <w:b/>
          <w:color w:val="000000" w:themeColor="text1"/>
          <w:sz w:val="24"/>
          <w:lang w:bidi="ar"/>
          <w14:textFill>
            <w14:solidFill>
              <w14:schemeClr w14:val="tx1"/>
            </w14:solidFill>
          </w14:textFill>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pStyle w:val="18"/>
        <w:widowControl/>
        <w:numPr>
          <w:ilvl w:val="0"/>
          <w:numId w:val="1"/>
        </w:numPr>
        <w:spacing w:before="156" w:beforeLines="50" w:after="0"/>
        <w:ind w:leftChars="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电脑耗材名称、规格、品牌及报价</w:t>
      </w:r>
    </w:p>
    <w:tbl>
      <w:tblPr>
        <w:tblStyle w:val="19"/>
        <w:tblW w:w="10091" w:type="dxa"/>
        <w:tblInd w:w="0" w:type="dxa"/>
        <w:tblLayout w:type="fixed"/>
        <w:tblCellMar>
          <w:top w:w="0" w:type="dxa"/>
          <w:left w:w="108" w:type="dxa"/>
          <w:bottom w:w="0" w:type="dxa"/>
          <w:right w:w="108" w:type="dxa"/>
        </w:tblCellMar>
      </w:tblPr>
      <w:tblGrid>
        <w:gridCol w:w="696"/>
        <w:gridCol w:w="1513"/>
        <w:gridCol w:w="1849"/>
        <w:gridCol w:w="1165"/>
        <w:gridCol w:w="804"/>
        <w:gridCol w:w="900"/>
        <w:gridCol w:w="778"/>
        <w:gridCol w:w="722"/>
        <w:gridCol w:w="846"/>
        <w:gridCol w:w="818"/>
      </w:tblGrid>
      <w:tr>
        <w:tblPrEx>
          <w:tblCellMar>
            <w:top w:w="0" w:type="dxa"/>
            <w:left w:w="108" w:type="dxa"/>
            <w:bottom w:w="0" w:type="dxa"/>
            <w:right w:w="108" w:type="dxa"/>
          </w:tblCellMar>
        </w:tblPrEx>
        <w:trPr>
          <w:trHeight w:val="846"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序号</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物品名称</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规格型号</w:t>
            </w:r>
          </w:p>
        </w:tc>
        <w:tc>
          <w:tcPr>
            <w:tcW w:w="2869"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840" w:firstLineChars="400"/>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品牌</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单位</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数量</w:t>
            </w:r>
          </w:p>
        </w:tc>
        <w:tc>
          <w:tcPr>
            <w:tcW w:w="846" w:type="dxa"/>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000000" w:themeColor="text1"/>
                <w:kern w:val="0"/>
                <w:sz w:val="20"/>
                <w:szCs w:val="20"/>
                <w14:textFill>
                  <w14:solidFill>
                    <w14:schemeClr w14:val="tx1"/>
                  </w14:solidFill>
                </w14:textFill>
              </w:rPr>
            </w:pP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优惠率</w:t>
            </w:r>
          </w:p>
        </w:tc>
      </w:tr>
      <w:tr>
        <w:tblPrEx>
          <w:tblCellMar>
            <w:top w:w="0" w:type="dxa"/>
            <w:left w:w="108" w:type="dxa"/>
            <w:bottom w:w="0" w:type="dxa"/>
            <w:right w:w="108" w:type="dxa"/>
          </w:tblCellMar>
        </w:tblPrEx>
        <w:trPr>
          <w:trHeight w:val="387"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打印纸</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A4（500张/包、75g/m</w:t>
            </w:r>
            <w:r>
              <w:rPr>
                <w:rFonts w:hint="eastAsia" w:ascii="宋体" w:hAnsi="宋体" w:cs="宋体"/>
                <w:color w:val="000000" w:themeColor="text1"/>
                <w:kern w:val="0"/>
                <w:szCs w:val="21"/>
                <w:vertAlign w:val="super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全通</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百旺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天章</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1600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9" w:hRule="atLeast"/>
        </w:trPr>
        <w:tc>
          <w:tcPr>
            <w:tcW w:w="6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151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2612</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696"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13"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388</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55</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696"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513"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278/328</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696"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513"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337</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硒鼓加粉</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以上几种</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6"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键盘</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鼠标</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常规，USB</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1849" w:type="dxa"/>
            <w:tcBorders>
              <w:top w:val="single" w:color="000000" w:sz="4" w:space="0"/>
              <w:left w:val="single" w:color="000000" w:sz="4" w:space="0"/>
              <w:bottom w:val="single" w:color="000000" w:sz="4" w:space="0"/>
              <w:right w:val="nil"/>
            </w:tcBorders>
            <w:noWrap/>
            <w:vAlign w:val="center"/>
          </w:tcPr>
          <w:p>
            <w:pPr>
              <w:jc w:val="center"/>
              <w:rPr>
                <w:rFonts w:ascii="宋体" w:hAnsi="宋体" w:cs="宋体"/>
                <w:color w:val="000000" w:themeColor="text1"/>
                <w:szCs w:val="21"/>
                <w14:textFill>
                  <w14:solidFill>
                    <w14:schemeClr w14:val="tx1"/>
                  </w14:solidFill>
                </w14:textFill>
              </w:rPr>
            </w:pPr>
          </w:p>
        </w:tc>
        <w:tc>
          <w:tcPr>
            <w:tcW w:w="1165"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804"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900"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78"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22" w:type="dxa"/>
            <w:tcBorders>
              <w:top w:val="single" w:color="000000" w:sz="4" w:space="0"/>
              <w:left w:val="nil"/>
              <w:bottom w:val="single" w:color="000000" w:sz="4" w:space="0"/>
              <w:right w:val="nil"/>
            </w:tcBorders>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846" w:type="dxa"/>
            <w:tcBorders>
              <w:top w:val="single" w:color="000000" w:sz="4" w:space="0"/>
              <w:left w:val="nil"/>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818"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bl>
    <w:p/>
    <w:p>
      <w:pPr>
        <w:spacing w:before="60" w:after="80" w:line="360" w:lineRule="auto"/>
        <w:ind w:left="479" w:leftChars="228"/>
        <w:jc w:val="left"/>
        <w:rPr>
          <w:lang w:bidi="ar"/>
        </w:rPr>
      </w:pPr>
      <w:bookmarkStart w:id="6" w:name="_Hlk169257340"/>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7" w:name="_Hlk169256993"/>
      <w:bookmarkStart w:id="8" w:name="_Hlk169257368"/>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7"/>
      <w:r>
        <w:rPr>
          <w:rFonts w:hint="eastAsia" w:ascii="宋体" w:hAnsi="宋体" w:cs="宋体"/>
          <w:color w:val="FF0000"/>
          <w:kern w:val="0"/>
          <w:szCs w:val="21"/>
        </w:rPr>
        <w:t>[分项报价×（1-优惠率）]</w:t>
      </w:r>
    </w:p>
    <w:bookmarkEnd w:id="6"/>
    <w:bookmarkEnd w:id="8"/>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甲、乙双方约定：乙方向甲方提供的办公用品等耗材依下述原则来确定产品的价格并结算货物价款：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4、在满足前述第1、2、3款条件之前提下，甲方对乙方所供产品每季度按投标货物总价值的总优惠率结算货物价款。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第二条 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、所供产品是全新的一线优质后勤要求的环保品牌，是用一流的工艺和最佳材料制造而成的正品。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3、产品的价格为到岸价、含税价，即乙方所供产品的价格中已包含货款、运输装卸费、税费、保管费、保险费、保管费等，甲方不另支付其他任何费用。</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rFonts w:hint="eastAsia" w:ascii="微软雅黑" w:hAnsi="微软雅黑" w:eastAsia="微软雅黑" w:cs="微软雅黑"/>
          <w:b/>
          <w:bCs/>
          <w:sz w:val="24"/>
        </w:rPr>
        <w:t>★</w:t>
      </w:r>
      <w:r>
        <w:rPr>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开标时需</w:t>
      </w:r>
      <w:r>
        <w:rPr>
          <w:rFonts w:hint="eastAsia" w:ascii="宋体" w:hAnsi="宋体" w:cs="宋体"/>
          <w:b/>
          <w:color w:val="000000" w:themeColor="text1"/>
          <w:sz w:val="24"/>
          <w14:textFill>
            <w14:solidFill>
              <w14:schemeClr w14:val="tx1"/>
            </w14:solidFill>
          </w14:textFill>
        </w:rPr>
        <w:t>提供</w:t>
      </w:r>
      <w:r>
        <w:rPr>
          <w:rFonts w:hint="eastAsia" w:ascii="宋体" w:hAnsi="宋体" w:cs="宋体"/>
          <w:b/>
          <w:sz w:val="24"/>
        </w:rPr>
        <w:t>带</w:t>
      </w:r>
      <w:r>
        <w:rPr>
          <w:rFonts w:hint="eastAsia" w:ascii="微软雅黑" w:hAnsi="微软雅黑" w:eastAsia="微软雅黑" w:cs="微软雅黑"/>
          <w:b/>
          <w:sz w:val="24"/>
        </w:rPr>
        <w:t>★</w:t>
      </w:r>
      <w:r>
        <w:rPr>
          <w:rFonts w:hint="eastAsia" w:ascii="宋体" w:hAnsi="宋体" w:cs="宋体"/>
          <w:b/>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3、乙方指定的收款帐户为：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第六条 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pStyle w:val="8"/>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投标样品</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1、本项目需提供以下样品：毛巾（一条）、抽纸（一包）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、样品单独封装</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每个样品贴上单位标签</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、采购人对投标人所递交样品的破损或质量不负任何责任，未中标的投标人样品招标人于开标活动结束后及时退还，3日内未领走的，采购人有权自行处置。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p>
    <w:p>
      <w:pPr>
        <w:topLinePunct/>
        <w:spacing w:line="360" w:lineRule="auto"/>
        <w:ind w:firstLine="482" w:firstLineChars="200"/>
        <w:jc w:val="left"/>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pStyle w:val="2"/>
        <w:rPr>
          <w:rFonts w:ascii="黑体" w:hAnsi="黑体" w:eastAsia="黑体" w:cs="黑体"/>
          <w:b/>
          <w:color w:val="000000"/>
          <w:kern w:val="0"/>
          <w:sz w:val="24"/>
        </w:rPr>
      </w:pPr>
    </w:p>
    <w:p>
      <w:pPr>
        <w:rPr>
          <w:rFonts w:ascii="黑体" w:hAnsi="黑体" w:eastAsia="黑体" w:cs="黑体"/>
          <w:b/>
          <w:color w:val="000000"/>
          <w:kern w:val="0"/>
          <w:sz w:val="24"/>
        </w:rPr>
      </w:pPr>
    </w:p>
    <w:p>
      <w:pPr>
        <w:rPr>
          <w:rFonts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hint="eastAsia" w:ascii="黑体" w:hAnsi="黑体" w:eastAsia="黑体" w:cs="黑体"/>
          <w:b/>
          <w:color w:val="000000"/>
          <w:kern w:val="0"/>
          <w:sz w:val="24"/>
        </w:rPr>
      </w:pPr>
    </w:p>
    <w:p>
      <w:pPr>
        <w:topLinePunct/>
        <w:spacing w:line="360" w:lineRule="auto"/>
        <w:jc w:val="left"/>
        <w:rPr>
          <w:rFonts w:ascii="黑体" w:hAnsi="黑体" w:eastAsia="黑体" w:cs="黑体"/>
          <w:b/>
          <w:color w:val="000000"/>
          <w:kern w:val="0"/>
          <w:sz w:val="24"/>
        </w:rPr>
      </w:pPr>
      <w:bookmarkStart w:id="16" w:name="_GoBack"/>
      <w:bookmarkEnd w:id="16"/>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7"/>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7"/>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7"/>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7"/>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7"/>
        <w:widowControl w:val="0"/>
        <w:adjustRightInd w:val="0"/>
        <w:snapToGrid w:val="0"/>
        <w:spacing w:before="0" w:beforeAutospacing="0" w:after="0" w:afterAutospacing="0" w:line="360" w:lineRule="auto"/>
        <w:ind w:firstLine="480" w:firstLineChars="200"/>
        <w:rPr>
          <w:rFonts w:cs="宋体"/>
          <w:bCs/>
          <w:color w:val="000000"/>
        </w:rPr>
        <w:sectPr>
          <w:headerReference r:id="rId3" w:type="default"/>
          <w:pgSz w:w="11906" w:h="16838"/>
          <w:pgMar w:top="1440" w:right="1134" w:bottom="1440" w:left="1418" w:header="851" w:footer="992" w:gutter="0"/>
          <w:cols w:space="720" w:num="1"/>
          <w:docGrid w:type="lines" w:linePitch="312" w:charSpace="0"/>
        </w:sect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9"/>
        <w:tblpPr w:leftFromText="180" w:rightFromText="180" w:vertAnchor="text" w:horzAnchor="page" w:tblpX="1791" w:tblpY="197"/>
        <w:tblOverlap w:val="never"/>
        <w:tblW w:w="8840" w:type="dxa"/>
        <w:tblInd w:w="0" w:type="dxa"/>
        <w:tblLayout w:type="fixed"/>
        <w:tblCellMar>
          <w:top w:w="0" w:type="dxa"/>
          <w:left w:w="108" w:type="dxa"/>
          <w:bottom w:w="0" w:type="dxa"/>
          <w:right w:w="108" w:type="dxa"/>
        </w:tblCellMar>
      </w:tblPr>
      <w:tblGrid>
        <w:gridCol w:w="801"/>
        <w:gridCol w:w="1202"/>
        <w:gridCol w:w="1275"/>
        <w:gridCol w:w="762"/>
        <w:gridCol w:w="750"/>
        <w:gridCol w:w="763"/>
        <w:gridCol w:w="700"/>
        <w:gridCol w:w="837"/>
        <w:gridCol w:w="837"/>
        <w:gridCol w:w="913"/>
      </w:tblGrid>
      <w:tr>
        <w:tblPrEx>
          <w:tblCellMar>
            <w:top w:w="0" w:type="dxa"/>
            <w:left w:w="108" w:type="dxa"/>
            <w:bottom w:w="0" w:type="dxa"/>
            <w:right w:w="108" w:type="dxa"/>
          </w:tblCellMar>
        </w:tblPrEx>
        <w:trPr>
          <w:trHeight w:val="65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序号</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货物名称</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规格型号</w:t>
            </w:r>
          </w:p>
        </w:tc>
        <w:tc>
          <w:tcPr>
            <w:tcW w:w="22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p>
          <w:p>
            <w:pPr>
              <w:widowControl/>
              <w:ind w:firstLine="1004" w:firstLineChars="500"/>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品牌</w:t>
            </w:r>
          </w:p>
          <w:p>
            <w:pPr>
              <w:widowControl/>
              <w:jc w:val="center"/>
              <w:textAlignment w:val="center"/>
              <w:rPr>
                <w:rFonts w:ascii="宋体" w:hAnsi="宋体" w:cs="楷体"/>
                <w:b/>
                <w:bCs/>
                <w:color w:val="000000" w:themeColor="text1"/>
                <w:kern w:val="0"/>
                <w:sz w:val="20"/>
                <w:szCs w:val="20"/>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单位</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数量</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FF0000"/>
                <w:kern w:val="0"/>
                <w:sz w:val="20"/>
                <w:szCs w:val="20"/>
              </w:rPr>
            </w:pPr>
            <w:r>
              <w:rPr>
                <w:rFonts w:hint="eastAsia" w:ascii="宋体" w:hAnsi="宋体" w:cs="宋体"/>
                <w:b/>
                <w:bCs/>
                <w:color w:val="FF0000"/>
                <w:kern w:val="0"/>
                <w:sz w:val="20"/>
                <w:szCs w:val="20"/>
              </w:rPr>
              <w:t>报价</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left="100" w:hanging="100" w:hangingChars="50"/>
              <w:jc w:val="center"/>
              <w:rPr>
                <w:rFonts w:ascii="宋体" w:hAnsi="宋体" w:cs="宋体"/>
                <w:b/>
                <w:bCs/>
                <w:color w:val="FF0000"/>
                <w:kern w:val="0"/>
                <w:sz w:val="20"/>
                <w:szCs w:val="20"/>
              </w:rPr>
            </w:pPr>
            <w:r>
              <w:rPr>
                <w:rFonts w:hint="eastAsia" w:ascii="宋体" w:hAnsi="宋体" w:cs="宋体"/>
                <w:b/>
                <w:bCs/>
                <w:color w:val="FF0000"/>
                <w:kern w:val="0"/>
                <w:sz w:val="20"/>
                <w:szCs w:val="20"/>
              </w:rPr>
              <w:t>优惠率</w:t>
            </w:r>
          </w:p>
        </w:tc>
      </w:tr>
      <w:tr>
        <w:tblPrEx>
          <w:tblCellMar>
            <w:top w:w="0" w:type="dxa"/>
            <w:left w:w="108" w:type="dxa"/>
            <w:bottom w:w="0" w:type="dxa"/>
            <w:right w:w="108" w:type="dxa"/>
          </w:tblCellMar>
        </w:tblPrEx>
        <w:trPr>
          <w:trHeight w:val="52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签字笔</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0.5/0.7</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宝克</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restart"/>
            <w:tcBorders>
              <w:top w:val="single" w:color="000000" w:sz="4" w:space="0"/>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中性笔</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7400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透明皂、香皂</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舒肤佳</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力士</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六神</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毛巾</w:t>
            </w:r>
            <w:r>
              <w:rPr>
                <w:rFonts w:hint="eastAsia" w:ascii="宋体" w:hAnsi="宋体" w:cs="宋体"/>
                <w:color w:val="000000"/>
                <w:kern w:val="0"/>
                <w:sz w:val="20"/>
                <w:szCs w:val="20"/>
              </w:rPr>
              <w:t>★</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洁丽雅</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三利</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浮日</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洗手液</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300ml</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威露士</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蓝月亮</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立白</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瓶</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茶叶</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一级绿茶200g</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古丈毛尖</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信阳毛尖</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珍颜牌富硒绿茶</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315</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抽纸</w:t>
            </w:r>
            <w:r>
              <w:rPr>
                <w:rFonts w:hint="eastAsia" w:ascii="宋体" w:hAnsi="宋体" w:cs="宋体"/>
                <w:color w:val="000000"/>
                <w:kern w:val="0"/>
                <w:sz w:val="20"/>
                <w:szCs w:val="20"/>
              </w:rPr>
              <w:t>★</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3包*210ml*600抽</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5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卷纸</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12圈（3层*270段/圈）</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优惠报价汇总/元</w:t>
            </w:r>
          </w:p>
        </w:tc>
        <w:tc>
          <w:tcPr>
            <w:tcW w:w="5924"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c>
          <w:tcPr>
            <w:tcW w:w="913"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r>
    </w:tbl>
    <w:p>
      <w:pPr>
        <w:widowControl/>
        <w:spacing w:line="380" w:lineRule="exact"/>
        <w:ind w:firstLine="240" w:firstLineChars="100"/>
        <w:jc w:val="left"/>
        <w:rPr>
          <w:rFonts w:ascii="宋体" w:hAnsi="宋体" w:cs="宋体"/>
          <w:color w:val="000000"/>
          <w:sz w:val="24"/>
        </w:rPr>
      </w:pPr>
      <w:bookmarkStart w:id="11" w:name="_Hlk169256267"/>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11"/>
      <w:r>
        <w:rPr>
          <w:rFonts w:hint="eastAsia" w:ascii="宋体" w:hAnsi="宋体" w:cs="宋体"/>
          <w:color w:val="FF0000"/>
          <w:kern w:val="0"/>
          <w:szCs w:val="21"/>
        </w:rPr>
        <w:t>[分项报价×（1-优惠率）]</w:t>
      </w: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2"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2"/>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before="156" w:beforeLines="50" w:line="360" w:lineRule="auto"/>
        <w:jc w:val="center"/>
        <w:rPr>
          <w:rFonts w:hint="eastAsia" w:ascii="微软雅黑" w:hAnsi="微软雅黑" w:eastAsia="微软雅黑" w:cs="微软雅黑"/>
          <w:b/>
          <w:color w:val="000000"/>
          <w:sz w:val="28"/>
          <w:szCs w:val="28"/>
        </w:rPr>
      </w:pP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p>
      <w:pPr>
        <w:widowControl/>
        <w:spacing w:line="380" w:lineRule="exact"/>
        <w:ind w:firstLine="240" w:firstLineChars="100"/>
        <w:jc w:val="left"/>
        <w:rPr>
          <w:rFonts w:ascii="宋体" w:hAnsi="宋体" w:cs="宋体"/>
          <w:color w:val="000000"/>
          <w:sz w:val="24"/>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pStyle w:val="18"/>
        <w:ind w:firstLine="482"/>
        <w:rPr>
          <w:rFonts w:ascii="黑体" w:hAnsi="黑体" w:eastAsia="黑体" w:cs="黑体"/>
          <w:b/>
          <w:color w:val="000000"/>
          <w:sz w:val="24"/>
        </w:rPr>
      </w:pPr>
    </w:p>
    <w:tbl>
      <w:tblPr>
        <w:tblStyle w:val="19"/>
        <w:tblpPr w:leftFromText="180" w:rightFromText="180" w:vertAnchor="page" w:horzAnchor="page" w:tblpX="1451" w:tblpY="2613"/>
        <w:tblOverlap w:val="never"/>
        <w:tblW w:w="8907" w:type="dxa"/>
        <w:tblInd w:w="0" w:type="dxa"/>
        <w:tblLayout w:type="fixed"/>
        <w:tblCellMar>
          <w:top w:w="0" w:type="dxa"/>
          <w:left w:w="108" w:type="dxa"/>
          <w:bottom w:w="0" w:type="dxa"/>
          <w:right w:w="108" w:type="dxa"/>
        </w:tblCellMar>
      </w:tblPr>
      <w:tblGrid>
        <w:gridCol w:w="788"/>
        <w:gridCol w:w="1162"/>
        <w:gridCol w:w="1550"/>
        <w:gridCol w:w="813"/>
        <w:gridCol w:w="762"/>
        <w:gridCol w:w="838"/>
        <w:gridCol w:w="787"/>
        <w:gridCol w:w="670"/>
        <w:gridCol w:w="656"/>
        <w:gridCol w:w="881"/>
      </w:tblGrid>
      <w:tr>
        <w:tblPrEx>
          <w:tblCellMar>
            <w:top w:w="0" w:type="dxa"/>
            <w:left w:w="108" w:type="dxa"/>
            <w:bottom w:w="0" w:type="dxa"/>
            <w:right w:w="108" w:type="dxa"/>
          </w:tblCellMar>
        </w:tblPrEx>
        <w:trPr>
          <w:trHeight w:val="846"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序号</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物品名称</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规格型号</w:t>
            </w:r>
          </w:p>
        </w:tc>
        <w:tc>
          <w:tcPr>
            <w:tcW w:w="2413"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840" w:firstLineChars="400"/>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品牌</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单位</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数量</w:t>
            </w:r>
          </w:p>
        </w:tc>
        <w:tc>
          <w:tcPr>
            <w:tcW w:w="656" w:type="dxa"/>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000000" w:themeColor="text1"/>
                <w:kern w:val="0"/>
                <w:sz w:val="20"/>
                <w:szCs w:val="20"/>
                <w14:textFill>
                  <w14:solidFill>
                    <w14:schemeClr w14:val="tx1"/>
                  </w14:solidFill>
                </w14:textFill>
              </w:rPr>
            </w:pP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优惠率</w:t>
            </w:r>
          </w:p>
        </w:tc>
      </w:tr>
      <w:tr>
        <w:tblPrEx>
          <w:tblCellMar>
            <w:top w:w="0" w:type="dxa"/>
            <w:left w:w="108" w:type="dxa"/>
            <w:bottom w:w="0" w:type="dxa"/>
            <w:right w:w="108" w:type="dxa"/>
          </w:tblCellMar>
        </w:tblPrEx>
        <w:trPr>
          <w:trHeight w:val="387"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打印纸</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A4（500张/包、75g/m</w:t>
            </w:r>
            <w:r>
              <w:rPr>
                <w:rFonts w:hint="eastAsia" w:ascii="宋体" w:hAnsi="宋体" w:cs="宋体"/>
                <w:color w:val="000000" w:themeColor="text1"/>
                <w:kern w:val="0"/>
                <w:szCs w:val="21"/>
                <w:vertAlign w:val="super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全通</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百旺</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天章</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1600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9" w:hRule="atLeast"/>
        </w:trPr>
        <w:tc>
          <w:tcPr>
            <w:tcW w:w="788"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1162"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2612</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788"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62"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388</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55</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788"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162"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278/328</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788"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162"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337</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硒鼓加粉</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以上几种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6"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键盘</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鼠标</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常规，USB</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报价汇总/元</w:t>
            </w:r>
          </w:p>
        </w:tc>
        <w:tc>
          <w:tcPr>
            <w:tcW w:w="1550" w:type="dxa"/>
            <w:tcBorders>
              <w:top w:val="single" w:color="000000" w:sz="4" w:space="0"/>
              <w:left w:val="single" w:color="000000" w:sz="4" w:space="0"/>
              <w:bottom w:val="single" w:color="000000" w:sz="4" w:space="0"/>
              <w:right w:val="nil"/>
            </w:tcBorders>
            <w:noWrap/>
            <w:vAlign w:val="center"/>
          </w:tcPr>
          <w:p>
            <w:pPr>
              <w:jc w:val="center"/>
              <w:rPr>
                <w:rFonts w:ascii="宋体" w:hAnsi="宋体" w:cs="宋体"/>
                <w:color w:val="000000" w:themeColor="text1"/>
                <w:szCs w:val="21"/>
                <w14:textFill>
                  <w14:solidFill>
                    <w14:schemeClr w14:val="tx1"/>
                  </w14:solidFill>
                </w14:textFill>
              </w:rPr>
            </w:pPr>
          </w:p>
        </w:tc>
        <w:tc>
          <w:tcPr>
            <w:tcW w:w="813"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62"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838"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87"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670" w:type="dxa"/>
            <w:tcBorders>
              <w:top w:val="single" w:color="000000" w:sz="4" w:space="0"/>
              <w:left w:val="nil"/>
              <w:bottom w:val="single" w:color="000000" w:sz="4" w:space="0"/>
              <w:right w:val="nil"/>
            </w:tcBorders>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656" w:type="dxa"/>
            <w:tcBorders>
              <w:top w:val="single" w:color="000000" w:sz="4" w:space="0"/>
              <w:left w:val="nil"/>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881"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bl>
    <w:p/>
    <w:p>
      <w:pPr>
        <w:pStyle w:val="2"/>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黑体" w:hAnsi="黑体" w:eastAsia="黑体" w:cs="黑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8"/>
        <w:tabs>
          <w:tab w:val="left" w:pos="3420"/>
        </w:tabs>
        <w:rPr>
          <w:rFonts w:ascii="宋体" w:hAnsi="宋体"/>
          <w:bCs/>
          <w:szCs w:val="21"/>
        </w:rPr>
      </w:pPr>
    </w:p>
    <w:p>
      <w:pPr>
        <w:pStyle w:val="6"/>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6"/>
        <w:rPr>
          <w:rFonts w:hAnsi="黑体" w:cs="黑体"/>
          <w:b/>
          <w:color w:val="000000"/>
          <w:sz w:val="24"/>
        </w:rPr>
      </w:pPr>
    </w:p>
    <w:p>
      <w:pPr>
        <w:pStyle w:val="6"/>
        <w:rPr>
          <w:rFonts w:hAnsi="黑体" w:cs="黑体"/>
          <w:b/>
          <w:color w:val="000000"/>
          <w:sz w:val="24"/>
        </w:rPr>
      </w:pPr>
    </w:p>
    <w:p>
      <w:pPr>
        <w:pStyle w:val="6"/>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3" w:name="OLE_LINK1"/>
      <w:r>
        <w:rPr>
          <w:rFonts w:hint="eastAsia" w:ascii="宋体" w:hAnsi="宋体" w:cs="宋体"/>
          <w:sz w:val="24"/>
        </w:rPr>
        <w:t>盖投标单位公章</w:t>
      </w:r>
      <w:bookmarkEnd w:id="13"/>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6"/>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4" w:name="OLE_LINK3"/>
      <w:r>
        <w:rPr>
          <w:rFonts w:hint="eastAsia" w:ascii="宋体" w:hAnsi="宋体" w:cs="宋体"/>
          <w:sz w:val="24"/>
        </w:rPr>
        <w:t>投标单位</w:t>
      </w:r>
      <w:bookmarkEnd w:id="14"/>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8"/>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5" w:name="_Hlk160818547"/>
      <w:r>
        <w:rPr>
          <w:rFonts w:hint="eastAsia" w:ascii="仿宋" w:hAnsi="仿宋" w:eastAsia="仿宋" w:cs="仿宋"/>
          <w:b/>
          <w:bCs/>
          <w:sz w:val="28"/>
          <w:szCs w:val="28"/>
        </w:rPr>
        <w:t>评分标准</w:t>
      </w:r>
      <w:bookmarkEnd w:id="15"/>
    </w:p>
    <w:tbl>
      <w:tblPr>
        <w:tblStyle w:val="19"/>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503"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1</w:t>
            </w:r>
            <w:r>
              <w:rPr>
                <w:rFonts w:hint="eastAsia" w:hAnsi="仿宋_GB2312" w:cs="仿宋_GB2312"/>
                <w:sz w:val="24"/>
                <w:szCs w:val="24"/>
              </w:rPr>
              <w:t>（</w:t>
            </w:r>
            <w:r>
              <w:rPr>
                <w:rFonts w:hint="eastAsia" w:ascii="宋体" w:hAnsi="宋体" w:cs="宋体"/>
                <w:color w:val="000000" w:themeColor="text1"/>
                <w:kern w:val="0"/>
                <w:sz w:val="24"/>
                <w:szCs w:val="24"/>
                <w14:textFill>
                  <w14:solidFill>
                    <w14:schemeClr w14:val="tx1"/>
                  </w14:solidFill>
                </w14:textFill>
              </w:rPr>
              <w:t>毛巾</w:t>
            </w:r>
            <w:r>
              <w:rPr>
                <w:rFonts w:hint="eastAsia" w:hAnsi="仿宋_GB2312" w:cs="仿宋_GB2312"/>
                <w:sz w:val="24"/>
                <w:szCs w:val="24"/>
              </w:rPr>
              <w:t>）</w:t>
            </w:r>
          </w:p>
          <w:p>
            <w:pPr>
              <w:pStyle w:val="2"/>
            </w:pPr>
            <w:r>
              <w:rPr>
                <w:rFonts w:hint="eastAsia" w:hAnsi="仿宋_GB2312" w:cs="仿宋_GB2312"/>
                <w:sz w:val="24"/>
              </w:rPr>
              <w:t>（10分）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1、所投“</w:t>
            </w:r>
            <w:r>
              <w:rPr>
                <w:rFonts w:hint="eastAsia" w:ascii="宋体" w:hAnsi="宋体" w:cs="宋体"/>
                <w:color w:val="000000" w:themeColor="text1"/>
                <w:kern w:val="0"/>
                <w:sz w:val="24"/>
                <w:szCs w:val="24"/>
                <w14:textFill>
                  <w14:solidFill>
                    <w14:schemeClr w14:val="tx1"/>
                  </w14:solidFill>
                </w14:textFill>
              </w:rPr>
              <w:t>毛巾</w:t>
            </w:r>
            <w:r>
              <w:rPr>
                <w:rFonts w:hint="eastAsia" w:hAnsi="仿宋_GB2312" w:cs="仿宋_GB2312"/>
                <w:sz w:val="24"/>
              </w:rPr>
              <w:t>”提供成品样品。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（1）样品外观精致无瑕疵、工艺制作好、细节处理得当、触感舒适的计10分；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样品评价 2</w:t>
            </w:r>
            <w:r>
              <w:rPr>
                <w:rFonts w:hint="eastAsia" w:hAnsi="仿宋_GB2312" w:cs="仿宋_GB2312"/>
                <w:sz w:val="24"/>
                <w:szCs w:val="24"/>
              </w:rPr>
              <w:t>（</w:t>
            </w:r>
            <w:r>
              <w:rPr>
                <w:rFonts w:hint="eastAsia" w:ascii="宋体" w:hAnsi="宋体" w:cs="宋体"/>
                <w:color w:val="000000" w:themeColor="text1"/>
                <w:kern w:val="0"/>
                <w:sz w:val="24"/>
                <w:szCs w:val="24"/>
                <w14:textFill>
                  <w14:solidFill>
                    <w14:schemeClr w14:val="tx1"/>
                  </w14:solidFill>
                </w14:textFill>
              </w:rPr>
              <w:t>抽纸</w:t>
            </w:r>
            <w:r>
              <w:rPr>
                <w:rFonts w:hint="eastAsia" w:hAnsi="仿宋_GB2312" w:cs="仿宋_GB2312"/>
                <w:sz w:val="24"/>
                <w:szCs w:val="24"/>
              </w:rPr>
              <w:t>）</w:t>
            </w:r>
          </w:p>
          <w:p>
            <w:pPr>
              <w:pStyle w:val="2"/>
            </w:pPr>
            <w:r>
              <w:rPr>
                <w:rFonts w:hint="eastAsia" w:hAnsi="仿宋_GB2312" w:cs="仿宋_GB2312"/>
                <w:sz w:val="24"/>
              </w:rPr>
              <w:t>（10分）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2、所投</w:t>
            </w:r>
            <w:r>
              <w:rPr>
                <w:rFonts w:hint="eastAsia" w:hAnsi="仿宋_GB2312" w:cs="仿宋_GB2312"/>
                <w:sz w:val="24"/>
                <w:szCs w:val="24"/>
              </w:rPr>
              <w:t>“</w:t>
            </w:r>
            <w:r>
              <w:rPr>
                <w:rFonts w:hint="eastAsia" w:ascii="宋体" w:hAnsi="宋体" w:cs="宋体"/>
                <w:color w:val="000000" w:themeColor="text1"/>
                <w:kern w:val="0"/>
                <w:sz w:val="24"/>
                <w:szCs w:val="24"/>
                <w14:textFill>
                  <w14:solidFill>
                    <w14:schemeClr w14:val="tx1"/>
                  </w14:solidFill>
                </w14:textFill>
              </w:rPr>
              <w:t>抽纸</w:t>
            </w:r>
            <w:r>
              <w:rPr>
                <w:rFonts w:hint="eastAsia" w:hAnsi="仿宋_GB2312" w:cs="仿宋_GB2312"/>
                <w:sz w:val="24"/>
                <w:szCs w:val="24"/>
              </w:rPr>
              <w:t>”</w:t>
            </w:r>
            <w:r>
              <w:rPr>
                <w:rFonts w:hint="eastAsia" w:hAnsi="仿宋_GB2312" w:cs="仿宋_GB2312"/>
                <w:sz w:val="24"/>
              </w:rPr>
              <w:t>提供成品样品。</w:t>
            </w:r>
          </w:p>
          <w:p>
            <w:pPr>
              <w:spacing w:line="400" w:lineRule="exact"/>
              <w:jc w:val="left"/>
              <w:rPr>
                <w:rFonts w:hAnsi="仿宋_GB2312" w:cs="仿宋_GB2312"/>
                <w:sz w:val="24"/>
              </w:rPr>
            </w:pPr>
            <w:r>
              <w:rPr>
                <w:rFonts w:hint="eastAsia" w:hAnsi="仿宋_GB2312" w:cs="仿宋_GB2312"/>
                <w:sz w:val="24"/>
              </w:rPr>
              <w:t>评委会根据投标人提供的样品，从样品的外观、工艺、材质等各项因素进行综合评定：</w:t>
            </w:r>
          </w:p>
          <w:p>
            <w:pPr>
              <w:spacing w:line="400" w:lineRule="exact"/>
              <w:jc w:val="left"/>
              <w:rPr>
                <w:rFonts w:hAnsi="仿宋_GB2312" w:cs="仿宋_GB2312"/>
                <w:sz w:val="24"/>
              </w:rPr>
            </w:pPr>
            <w:r>
              <w:rPr>
                <w:rFonts w:hint="eastAsia" w:hAnsi="仿宋_GB2312" w:cs="仿宋_GB2312"/>
                <w:sz w:val="24"/>
              </w:rPr>
              <w:t>（1）样品外观精致无瑕疵、工艺制作好、细节处理得当、触感优质的计10分；</w:t>
            </w:r>
          </w:p>
          <w:p>
            <w:pPr>
              <w:spacing w:line="400" w:lineRule="exact"/>
              <w:jc w:val="left"/>
              <w:rPr>
                <w:rFonts w:hAnsi="仿宋_GB2312" w:cs="仿宋_GB2312"/>
                <w:sz w:val="24"/>
              </w:rPr>
            </w:pPr>
            <w:r>
              <w:rPr>
                <w:rFonts w:hint="eastAsia" w:hAnsi="仿宋_GB2312" w:cs="仿宋_GB2312"/>
                <w:sz w:val="24"/>
              </w:rPr>
              <w:t>（2）样品外观略有瑕疵、工艺制作一般，细节处理一般，触感一般的计7分；</w:t>
            </w:r>
          </w:p>
          <w:p>
            <w:pPr>
              <w:spacing w:line="400" w:lineRule="exact"/>
              <w:jc w:val="left"/>
              <w:rPr>
                <w:rFonts w:hAnsi="仿宋_GB2312" w:cs="仿宋_GB2312"/>
                <w:sz w:val="24"/>
              </w:rPr>
            </w:pPr>
            <w:r>
              <w:rPr>
                <w:rFonts w:hint="eastAsia" w:hAnsi="仿宋_GB2312" w:cs="仿宋_GB2312"/>
                <w:sz w:val="24"/>
              </w:rPr>
              <w:t>（3）样品外观有明显瑕疵、工艺制作较差，细节处理不妥，触感差的计4分。</w:t>
            </w:r>
          </w:p>
          <w:p>
            <w:pPr>
              <w:spacing w:line="400" w:lineRule="exact"/>
              <w:jc w:val="left"/>
              <w:rPr>
                <w:rFonts w:hAnsi="仿宋_GB2312" w:cs="仿宋_GB2312"/>
                <w:sz w:val="24"/>
              </w:rPr>
            </w:pPr>
            <w:r>
              <w:rPr>
                <w:rFonts w:hint="eastAsia" w:hAnsi="仿宋_GB2312" w:cs="仿宋_GB2312"/>
                <w:sz w:val="24"/>
              </w:rPr>
              <w:t>（4）未提供样品或提供不全的计0分。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配送服务方案（20分）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pPr>
              <w:spacing w:line="400" w:lineRule="exact"/>
              <w:jc w:val="left"/>
              <w:rPr>
                <w:rFonts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pPr>
              <w:spacing w:line="400" w:lineRule="exact"/>
              <w:jc w:val="left"/>
              <w:rPr>
                <w:rFonts w:hAnsi="仿宋_GB2312" w:cs="仿宋_GB2312"/>
                <w:sz w:val="24"/>
              </w:rPr>
            </w:pPr>
            <w:r>
              <w:rPr>
                <w:rFonts w:hint="eastAsia" w:hAnsi="仿宋_GB2312" w:cs="仿宋_GB2312"/>
                <w:sz w:val="24"/>
              </w:rPr>
              <w:t>2.配送服务方案，较为详细具体，内容较完整、较科学合理、针对性较强，满足用户需求，计 15分；</w:t>
            </w:r>
          </w:p>
          <w:p>
            <w:pPr>
              <w:spacing w:line="400" w:lineRule="exact"/>
              <w:jc w:val="left"/>
              <w:rPr>
                <w:rFonts w:hAnsi="仿宋_GB2312" w:cs="仿宋_GB2312"/>
                <w:sz w:val="24"/>
              </w:rPr>
            </w:pPr>
            <w:r>
              <w:rPr>
                <w:rFonts w:hint="eastAsia" w:hAnsi="仿宋_GB2312" w:cs="仿宋_GB2312"/>
                <w:sz w:val="24"/>
              </w:rPr>
              <w:t>3.配送服务方案，简单、欠完善，针对性一般的,不能完全满足 用户需求，计10分；</w:t>
            </w:r>
          </w:p>
          <w:p>
            <w:pPr>
              <w:spacing w:line="400" w:lineRule="exact"/>
              <w:jc w:val="left"/>
              <w:rPr>
                <w:rFonts w:hAnsi="仿宋_GB2312" w:cs="仿宋_GB2312"/>
                <w:sz w:val="24"/>
              </w:rPr>
            </w:pPr>
            <w:r>
              <w:rPr>
                <w:rFonts w:hint="eastAsia" w:hAnsi="仿宋_GB2312" w:cs="仿宋_GB2312"/>
                <w:sz w:val="24"/>
              </w:rPr>
              <w:t>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售后服务保障（9分）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pPr>
              <w:spacing w:line="400" w:lineRule="exact"/>
              <w:jc w:val="left"/>
              <w:rPr>
                <w:rFonts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pPr>
              <w:spacing w:line="400" w:lineRule="exact"/>
              <w:jc w:val="left"/>
              <w:rPr>
                <w:rFonts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pPr>
              <w:spacing w:line="400" w:lineRule="exact"/>
              <w:jc w:val="left"/>
              <w:rPr>
                <w:rFonts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pPr>
              <w:spacing w:line="400" w:lineRule="exact"/>
              <w:jc w:val="left"/>
              <w:rPr>
                <w:rFonts w:hAnsi="仿宋_GB2312" w:cs="仿宋_GB2312"/>
                <w:sz w:val="24"/>
              </w:rPr>
            </w:pPr>
            <w:r>
              <w:rPr>
                <w:rFonts w:hint="eastAsia" w:hAnsi="仿宋_GB2312" w:cs="仿宋_GB2312"/>
                <w:sz w:val="24"/>
              </w:rPr>
              <w:t>4.此项未提供或不合理的计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pPr>
              <w:spacing w:line="400" w:lineRule="exact"/>
              <w:jc w:val="center"/>
              <w:rPr>
                <w:rFonts w:hint="eastAsia" w:hAnsi="仿宋_GB2312" w:cs="仿宋_GB2312"/>
                <w:sz w:val="24"/>
              </w:rPr>
            </w:pPr>
            <w:r>
              <w:rPr>
                <w:rFonts w:hint="eastAsia" w:hAnsi="仿宋_GB2312" w:cs="仿宋_GB2312"/>
                <w:sz w:val="24"/>
              </w:rPr>
              <w:t>退换货方案</w:t>
            </w:r>
          </w:p>
          <w:p>
            <w:pPr>
              <w:spacing w:line="400" w:lineRule="exact"/>
              <w:jc w:val="center"/>
              <w:rPr>
                <w:rFonts w:hAnsi="仿宋_GB2312" w:cs="仿宋_GB2312"/>
                <w:sz w:val="24"/>
              </w:rPr>
            </w:pPr>
            <w:r>
              <w:rPr>
                <w:rFonts w:hint="eastAsia" w:hAnsi="仿宋_GB2312" w:cs="仿宋_GB2312"/>
                <w:sz w:val="24"/>
              </w:rPr>
              <w:t>（5分）</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pPr>
              <w:spacing w:line="400" w:lineRule="exact"/>
              <w:jc w:val="left"/>
              <w:rPr>
                <w:rFonts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类似业绩（16）</w:t>
            </w:r>
          </w:p>
        </w:tc>
        <w:tc>
          <w:tcPr>
            <w:tcW w:w="8503" w:type="dxa"/>
            <w:vAlign w:val="center"/>
          </w:tcPr>
          <w:p>
            <w:pPr>
              <w:spacing w:line="400" w:lineRule="exact"/>
              <w:jc w:val="left"/>
              <w:rPr>
                <w:rFonts w:hAnsi="仿宋_GB2312" w:cs="仿宋_GB2312"/>
                <w:sz w:val="24"/>
              </w:rPr>
            </w:pPr>
            <w:r>
              <w:rPr>
                <w:rFonts w:hint="eastAsia" w:hAnsi="仿宋_GB2312" w:cs="仿宋_GB2312"/>
                <w:sz w:val="24"/>
              </w:rPr>
              <w:t>根据各投标人近三年来（2021年5月至投标截止时间）承接过的类似项目进行评价，每提供一个类似项目业绩的计4分，本项最多计16分。</w:t>
            </w:r>
          </w:p>
          <w:p>
            <w:pPr>
              <w:spacing w:line="400" w:lineRule="exact"/>
              <w:jc w:val="left"/>
              <w:rPr>
                <w:rFonts w:hAnsi="仿宋_GB2312" w:cs="仿宋_GB2312"/>
                <w:sz w:val="24"/>
              </w:rPr>
            </w:pPr>
            <w:r>
              <w:rPr>
                <w:rFonts w:hint="eastAsia" w:hAnsi="仿宋_GB2312" w:cs="仿宋_GB2312"/>
                <w:sz w:val="24"/>
              </w:rPr>
              <w:t>注：需提供类似业绩项目合同复印件并加盖公章，否则不计分。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503"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916EA"/>
    <w:rsid w:val="000B4AC9"/>
    <w:rsid w:val="000C0006"/>
    <w:rsid w:val="000C2AAD"/>
    <w:rsid w:val="000C4FCD"/>
    <w:rsid w:val="000C7B07"/>
    <w:rsid w:val="000D17C4"/>
    <w:rsid w:val="000D2C1F"/>
    <w:rsid w:val="000E208E"/>
    <w:rsid w:val="000E22D8"/>
    <w:rsid w:val="000E2FCA"/>
    <w:rsid w:val="000E3EB7"/>
    <w:rsid w:val="000E6B0E"/>
    <w:rsid w:val="000F59A8"/>
    <w:rsid w:val="000F6B06"/>
    <w:rsid w:val="00103E0F"/>
    <w:rsid w:val="001041D4"/>
    <w:rsid w:val="001056D9"/>
    <w:rsid w:val="001111B1"/>
    <w:rsid w:val="001112DE"/>
    <w:rsid w:val="00112F2C"/>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52D2A"/>
    <w:rsid w:val="00460139"/>
    <w:rsid w:val="004628AB"/>
    <w:rsid w:val="00463B93"/>
    <w:rsid w:val="004719E3"/>
    <w:rsid w:val="00474429"/>
    <w:rsid w:val="004841A8"/>
    <w:rsid w:val="004928AE"/>
    <w:rsid w:val="00494B92"/>
    <w:rsid w:val="004A0F69"/>
    <w:rsid w:val="004A2598"/>
    <w:rsid w:val="004A47B4"/>
    <w:rsid w:val="004A4A1C"/>
    <w:rsid w:val="004B69EE"/>
    <w:rsid w:val="004C21D9"/>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A7A41"/>
    <w:rsid w:val="006B274D"/>
    <w:rsid w:val="006B5265"/>
    <w:rsid w:val="006C0664"/>
    <w:rsid w:val="006E407C"/>
    <w:rsid w:val="006F43C4"/>
    <w:rsid w:val="00700865"/>
    <w:rsid w:val="00706CE7"/>
    <w:rsid w:val="00711BA2"/>
    <w:rsid w:val="00712128"/>
    <w:rsid w:val="00712F84"/>
    <w:rsid w:val="007154F1"/>
    <w:rsid w:val="00722BBF"/>
    <w:rsid w:val="007304AD"/>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D7D22"/>
    <w:rsid w:val="007E0833"/>
    <w:rsid w:val="00801062"/>
    <w:rsid w:val="0080583D"/>
    <w:rsid w:val="00810469"/>
    <w:rsid w:val="0081110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6B06"/>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74CD8"/>
    <w:rsid w:val="00A77A98"/>
    <w:rsid w:val="00A81F44"/>
    <w:rsid w:val="00A91450"/>
    <w:rsid w:val="00A95092"/>
    <w:rsid w:val="00AA145B"/>
    <w:rsid w:val="00AB4256"/>
    <w:rsid w:val="00AC45ED"/>
    <w:rsid w:val="00AC51EC"/>
    <w:rsid w:val="00AD6534"/>
    <w:rsid w:val="00B0175F"/>
    <w:rsid w:val="00B22937"/>
    <w:rsid w:val="00B3412E"/>
    <w:rsid w:val="00B3429B"/>
    <w:rsid w:val="00B35BE1"/>
    <w:rsid w:val="00B37B00"/>
    <w:rsid w:val="00B52059"/>
    <w:rsid w:val="00B56A7F"/>
    <w:rsid w:val="00B60011"/>
    <w:rsid w:val="00B612D0"/>
    <w:rsid w:val="00B66748"/>
    <w:rsid w:val="00B7493C"/>
    <w:rsid w:val="00B771AB"/>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42FD9"/>
    <w:rsid w:val="00D70A69"/>
    <w:rsid w:val="00D75527"/>
    <w:rsid w:val="00D80103"/>
    <w:rsid w:val="00D85CA0"/>
    <w:rsid w:val="00D8790E"/>
    <w:rsid w:val="00D93253"/>
    <w:rsid w:val="00D9421F"/>
    <w:rsid w:val="00DA061F"/>
    <w:rsid w:val="00DA340E"/>
    <w:rsid w:val="00DA67B2"/>
    <w:rsid w:val="00DB2CAE"/>
    <w:rsid w:val="00DB5AB0"/>
    <w:rsid w:val="00DD1775"/>
    <w:rsid w:val="00DF2E12"/>
    <w:rsid w:val="00E15F7C"/>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8510CCB"/>
    <w:rsid w:val="093926A6"/>
    <w:rsid w:val="0C446C4A"/>
    <w:rsid w:val="0D1531E8"/>
    <w:rsid w:val="0D3317AF"/>
    <w:rsid w:val="111451B1"/>
    <w:rsid w:val="11AA79EB"/>
    <w:rsid w:val="12476873"/>
    <w:rsid w:val="145F6D78"/>
    <w:rsid w:val="14ED3D4F"/>
    <w:rsid w:val="15DD1DF8"/>
    <w:rsid w:val="180E78A8"/>
    <w:rsid w:val="18335C10"/>
    <w:rsid w:val="19996254"/>
    <w:rsid w:val="1B943177"/>
    <w:rsid w:val="1C0E2CEB"/>
    <w:rsid w:val="1C6019B5"/>
    <w:rsid w:val="1CB15175"/>
    <w:rsid w:val="1D4871EB"/>
    <w:rsid w:val="1DED3012"/>
    <w:rsid w:val="1E6A6074"/>
    <w:rsid w:val="1EDF6E66"/>
    <w:rsid w:val="21482DD7"/>
    <w:rsid w:val="215D592A"/>
    <w:rsid w:val="24AC4A25"/>
    <w:rsid w:val="25F24E87"/>
    <w:rsid w:val="26A54C67"/>
    <w:rsid w:val="28C40C32"/>
    <w:rsid w:val="2A166BC1"/>
    <w:rsid w:val="2D6F69C0"/>
    <w:rsid w:val="31157E8A"/>
    <w:rsid w:val="31647D66"/>
    <w:rsid w:val="3291131A"/>
    <w:rsid w:val="358A2DE4"/>
    <w:rsid w:val="36993C98"/>
    <w:rsid w:val="36A42976"/>
    <w:rsid w:val="371A4C8C"/>
    <w:rsid w:val="3744399B"/>
    <w:rsid w:val="38136454"/>
    <w:rsid w:val="3B0F6ACC"/>
    <w:rsid w:val="3BEE6177"/>
    <w:rsid w:val="3C67442C"/>
    <w:rsid w:val="3D422619"/>
    <w:rsid w:val="3EEF109D"/>
    <w:rsid w:val="40E43974"/>
    <w:rsid w:val="40E616BA"/>
    <w:rsid w:val="4349552E"/>
    <w:rsid w:val="4390748B"/>
    <w:rsid w:val="45EE264F"/>
    <w:rsid w:val="474E6F58"/>
    <w:rsid w:val="479E6FA7"/>
    <w:rsid w:val="47EE40E5"/>
    <w:rsid w:val="47F87C39"/>
    <w:rsid w:val="49CA0BFE"/>
    <w:rsid w:val="49FF0303"/>
    <w:rsid w:val="4B386DCB"/>
    <w:rsid w:val="4DB125A4"/>
    <w:rsid w:val="507A645F"/>
    <w:rsid w:val="50C55DBA"/>
    <w:rsid w:val="51696CA3"/>
    <w:rsid w:val="53A33245"/>
    <w:rsid w:val="53B31AE1"/>
    <w:rsid w:val="53B33245"/>
    <w:rsid w:val="53D52E7C"/>
    <w:rsid w:val="54F16ABB"/>
    <w:rsid w:val="55603AEE"/>
    <w:rsid w:val="564B20A8"/>
    <w:rsid w:val="580461A4"/>
    <w:rsid w:val="586340B6"/>
    <w:rsid w:val="597B5CF8"/>
    <w:rsid w:val="5CE13DF9"/>
    <w:rsid w:val="5D396905"/>
    <w:rsid w:val="5D730178"/>
    <w:rsid w:val="5D7E5824"/>
    <w:rsid w:val="62660F38"/>
    <w:rsid w:val="62AD0052"/>
    <w:rsid w:val="645E6340"/>
    <w:rsid w:val="65C50B86"/>
    <w:rsid w:val="665146E0"/>
    <w:rsid w:val="66A61F9B"/>
    <w:rsid w:val="68320EBE"/>
    <w:rsid w:val="68840209"/>
    <w:rsid w:val="696372E0"/>
    <w:rsid w:val="6CCB679F"/>
    <w:rsid w:val="6D7825A4"/>
    <w:rsid w:val="6D8F68C7"/>
    <w:rsid w:val="705838E8"/>
    <w:rsid w:val="71303E41"/>
    <w:rsid w:val="7151042E"/>
    <w:rsid w:val="76A0780E"/>
    <w:rsid w:val="777D621D"/>
    <w:rsid w:val="78322C70"/>
    <w:rsid w:val="7D415502"/>
    <w:rsid w:val="7EA22B68"/>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semiHidden/>
    <w:unhideWhenUsed/>
    <w:qFormat/>
    <w:uiPriority w:val="0"/>
    <w:pPr>
      <w:jc w:val="left"/>
    </w:pPr>
  </w:style>
  <w:style w:type="paragraph" w:styleId="8">
    <w:name w:val="Body Text"/>
    <w:basedOn w:val="1"/>
    <w:link w:val="87"/>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正文首行缩进 21"/>
    <w:basedOn w:val="94"/>
    <w:autoRedefine/>
    <w:qFormat/>
    <w:uiPriority w:val="0"/>
    <w:pPr>
      <w:spacing w:after="0" w:line="500" w:lineRule="exact"/>
      <w:ind w:left="0" w:leftChars="0" w:firstLine="420" w:firstLineChars="200"/>
    </w:pPr>
    <w:rPr>
      <w:rFonts w:eastAsia="仿宋_GB2312"/>
      <w:kern w:val="2"/>
      <w:sz w:val="28"/>
    </w:rPr>
  </w:style>
  <w:style w:type="paragraph" w:customStyle="1" w:styleId="94">
    <w:name w:val="正文文本缩进1"/>
    <w:basedOn w:val="1"/>
    <w:qFormat/>
    <w:uiPriority w:val="0"/>
    <w:pPr>
      <w:spacing w:after="120" w:line="440" w:lineRule="exact"/>
      <w:ind w:left="420" w:leftChars="200"/>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12329</Words>
  <Characters>12667</Characters>
  <Lines>100</Lines>
  <Paragraphs>28</Paragraphs>
  <TotalTime>5</TotalTime>
  <ScaleCrop>false</ScaleCrop>
  <LinksUpToDate>false</LinksUpToDate>
  <CharactersWithSpaces>13482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2024-06-26T07:19:45Z</dcterms:modified>
  <dc:title>湖南科技大学2005-2006年教材招标</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1E75EBA7A86F4D4B899E42A40D61B840_13</vt:lpwstr>
  </property>
</Properties>
</file>