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rPr>
          <w:rFonts w:eastAsia="黑体"/>
          <w:b/>
          <w:sz w:val="52"/>
          <w:szCs w:val="52"/>
        </w:rPr>
      </w:pPr>
      <w:r>
        <w:rPr>
          <w:rFonts w:hint="eastAsia" w:eastAsia="黑体"/>
          <w:b/>
          <w:sz w:val="52"/>
          <w:szCs w:val="52"/>
        </w:rPr>
        <w:t>五金、日杂及木质材料供应商采购项目</w:t>
      </w:r>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
    <w:p>
      <w:pPr>
        <w:jc w:val="center"/>
        <w:rPr>
          <w:sz w:val="32"/>
        </w:rPr>
      </w:pPr>
      <w:r>
        <w:rPr>
          <w:rFonts w:hint="eastAsia"/>
          <w:sz w:val="32"/>
        </w:rPr>
        <w:t>202</w:t>
      </w:r>
      <w:r>
        <w:rPr>
          <w:sz w:val="32"/>
        </w:rPr>
        <w:t>4</w:t>
      </w:r>
      <w:r>
        <w:rPr>
          <w:rFonts w:hint="eastAsia"/>
          <w:sz w:val="32"/>
        </w:rPr>
        <w:t>年6月</w:t>
      </w:r>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五金、日杂及木质材料供应商采购项目比选公告</w:t>
      </w:r>
    </w:p>
    <w:p>
      <w:pPr>
        <w:widowControl/>
        <w:spacing w:before="124" w:beforeLines="40" w:after="124" w:afterLines="40" w:line="360" w:lineRule="auto"/>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cs="宋体"/>
          <w:color w:val="000000" w:themeColor="text1"/>
          <w:sz w:val="24"/>
          <w14:textFill>
            <w14:solidFill>
              <w14:schemeClr w14:val="tx1"/>
            </w14:solidFill>
          </w14:textFill>
        </w:rPr>
        <w:t>五金、日杂及木质材料</w:t>
      </w:r>
      <w:r>
        <w:rPr>
          <w:rFonts w:hint="eastAsia" w:ascii="宋体" w:hAnsi="宋体" w:cs="宋体"/>
          <w:color w:val="000000"/>
          <w:kern w:val="0"/>
          <w:sz w:val="24"/>
        </w:rPr>
        <w:t>供应商采购项目</w:t>
      </w:r>
      <w:r>
        <w:rPr>
          <w:rFonts w:ascii="宋体" w:hAnsi="宋体" w:cs="宋体"/>
          <w:color w:val="000000"/>
          <w:kern w:val="0"/>
          <w:sz w:val="24"/>
        </w:rPr>
        <w:t>进行招标，现将招投标工作事宜公告如下：</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一、</w:t>
      </w:r>
      <w:r>
        <w:rPr>
          <w:rFonts w:hint="eastAsia" w:ascii="宋体" w:hAnsi="宋体" w:cs="宋体"/>
          <w:b/>
          <w:bCs/>
          <w:color w:val="000000"/>
          <w:kern w:val="0"/>
          <w:sz w:val="24"/>
        </w:rPr>
        <w:t>采购项目基本概况</w:t>
      </w:r>
    </w:p>
    <w:p>
      <w:pPr>
        <w:widowControl/>
        <w:spacing w:before="124" w:beforeLines="40" w:after="124" w:afterLines="40" w:line="360" w:lineRule="auto"/>
        <w:ind w:firstLine="480" w:firstLineChars="200"/>
        <w:rPr>
          <w:sz w:val="24"/>
        </w:rPr>
      </w:pPr>
      <w:r>
        <w:rPr>
          <w:rFonts w:hint="eastAsia" w:ascii="宋体" w:hAnsi="宋体" w:cs="宋体"/>
          <w:color w:val="000000"/>
          <w:kern w:val="0"/>
          <w:sz w:val="24"/>
        </w:rPr>
        <w:t>1、</w:t>
      </w:r>
      <w:r>
        <w:rPr>
          <w:rFonts w:ascii="宋体" w:hAnsi="宋体" w:cs="宋体"/>
          <w:color w:val="000000"/>
          <w:kern w:val="0"/>
          <w:sz w:val="24"/>
        </w:rPr>
        <w:t>项目名称：</w:t>
      </w:r>
      <w:r>
        <w:rPr>
          <w:rFonts w:hint="eastAsia"/>
          <w:sz w:val="24"/>
        </w:rPr>
        <w:t xml:space="preserve"> </w:t>
      </w:r>
      <w:r>
        <w:rPr>
          <w:rFonts w:hint="eastAsia" w:cs="宋体"/>
          <w:color w:val="000000" w:themeColor="text1"/>
          <w:sz w:val="24"/>
          <w14:textFill>
            <w14:solidFill>
              <w14:schemeClr w14:val="tx1"/>
            </w14:solidFill>
          </w14:textFill>
        </w:rPr>
        <w:t>五金、日杂及木质材料</w:t>
      </w:r>
      <w:r>
        <w:rPr>
          <w:rFonts w:hint="eastAsia"/>
          <w:sz w:val="24"/>
        </w:rPr>
        <w:t>供应商采购项目</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line="360" w:lineRule="auto"/>
        <w:ind w:firstLine="480" w:firstLineChars="200"/>
        <w:rPr>
          <w:rFonts w:ascii="宋体" w:hAnsi="宋体" w:cs="宋体"/>
          <w:color w:val="000000"/>
          <w:kern w:val="0"/>
          <w:sz w:val="24"/>
        </w:rPr>
      </w:pPr>
      <w:bookmarkStart w:id="1" w:name="_Hlk144221827"/>
      <w:r>
        <w:rPr>
          <w:rFonts w:hint="eastAsia" w:ascii="宋体" w:hAnsi="宋体" w:cs="宋体"/>
          <w:color w:val="000000"/>
          <w:kern w:val="0"/>
          <w:sz w:val="24"/>
        </w:rPr>
        <w:t>3、采购预算：</w:t>
      </w:r>
      <w:r>
        <w:rPr>
          <w:rFonts w:hint="eastAsia" w:ascii="宋体" w:hAnsi="宋体" w:cs="宋体"/>
          <w:kern w:val="0"/>
          <w:sz w:val="24"/>
        </w:rPr>
        <w:t>15万元</w:t>
      </w:r>
      <w:bookmarkEnd w:id="1"/>
    </w:p>
    <w:p>
      <w:pPr>
        <w:pStyle w:val="81"/>
        <w:widowControl/>
        <w:numPr>
          <w:ilvl w:val="1"/>
          <w:numId w:val="1"/>
        </w:numPr>
        <w:spacing w:before="124" w:beforeLines="40" w:after="124" w:afterLines="40" w:line="360" w:lineRule="auto"/>
        <w:ind w:left="959"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spacing w:line="360" w:lineRule="auto"/>
        <w:ind w:left="479"/>
        <w:rPr>
          <w:rFonts w:ascii="宋体" w:hAnsi="宋体" w:cs="宋体"/>
          <w:color w:val="000000"/>
          <w:kern w:val="0"/>
          <w:sz w:val="24"/>
        </w:rPr>
      </w:pPr>
      <w:bookmarkStart w:id="2" w:name="_Hlk160807244"/>
      <w:r>
        <w:rPr>
          <w:rFonts w:hint="eastAsia" w:ascii="宋体" w:hAnsi="宋体" w:cs="宋体"/>
          <w:color w:val="000000"/>
          <w:kern w:val="0"/>
          <w:sz w:val="24"/>
        </w:rPr>
        <w:t>（一）基本资格条件</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81"/>
        <w:widowControl/>
        <w:numPr>
          <w:ilvl w:val="0"/>
          <w:numId w:val="2"/>
        </w:numPr>
        <w:spacing w:line="360" w:lineRule="auto"/>
        <w:ind w:left="839"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81"/>
        <w:widowControl/>
        <w:numPr>
          <w:ilvl w:val="0"/>
          <w:numId w:val="2"/>
        </w:numPr>
        <w:spacing w:line="360" w:lineRule="auto"/>
        <w:ind w:left="839"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sz w:val="24"/>
        </w:rPr>
        <w:t>6、已入驻湖南省财政厅政府采购电子卖场证明。</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81"/>
        <w:widowControl/>
        <w:spacing w:line="360" w:lineRule="auto"/>
        <w:ind w:left="479"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bookmarkEnd w:id="2"/>
    <w:p>
      <w:pPr>
        <w:widowControl/>
        <w:spacing w:before="156" w:beforeLines="50" w:after="156" w:afterLines="50" w:line="44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w:t>
      </w:r>
      <w:bookmarkStart w:id="3" w:name="_Hlk165294075"/>
      <w:r>
        <w:rPr>
          <w:rFonts w:hint="eastAsia" w:ascii="宋体" w:hAnsi="宋体" w:cs="宋体"/>
          <w:color w:val="000000"/>
          <w:kern w:val="0"/>
          <w:sz w:val="24"/>
        </w:rPr>
        <w:t>报名时间：2024年</w:t>
      </w:r>
      <w:r>
        <w:rPr>
          <w:rFonts w:hint="eastAsia" w:ascii="宋体" w:hAnsi="宋体" w:cs="宋体"/>
          <w:kern w:val="0"/>
          <w:sz w:val="24"/>
        </w:rPr>
        <w:t>6月</w:t>
      </w:r>
      <w:r>
        <w:rPr>
          <w:rFonts w:hint="eastAsia" w:ascii="宋体" w:hAnsi="宋体" w:cs="宋体"/>
          <w:kern w:val="0"/>
          <w:sz w:val="24"/>
          <w:lang w:val="en-US" w:eastAsia="zh-CN"/>
        </w:rPr>
        <w:t>17</w:t>
      </w:r>
      <w:r>
        <w:rPr>
          <w:rFonts w:hint="eastAsia" w:ascii="宋体" w:hAnsi="宋体" w:cs="宋体"/>
          <w:kern w:val="0"/>
          <w:sz w:val="24"/>
        </w:rPr>
        <w:t>日至2024年6月</w:t>
      </w:r>
      <w:r>
        <w:rPr>
          <w:rFonts w:hint="eastAsia" w:ascii="宋体" w:hAnsi="宋体" w:cs="宋体"/>
          <w:kern w:val="0"/>
          <w:sz w:val="24"/>
          <w:lang w:val="en-US" w:eastAsia="zh-CN"/>
        </w:rPr>
        <w:t>21</w:t>
      </w:r>
      <w:r>
        <w:rPr>
          <w:rFonts w:hint="eastAsia" w:ascii="宋体" w:hAnsi="宋体" w:cs="宋体"/>
          <w:kern w:val="0"/>
          <w:sz w:val="24"/>
        </w:rPr>
        <w:t>日17：00止（工作日）</w:t>
      </w:r>
      <w:r>
        <w:rPr>
          <w:rFonts w:hint="eastAsia" w:ascii="宋体" w:hAnsi="宋体" w:cs="宋体"/>
          <w:color w:val="000000"/>
          <w:kern w:val="0"/>
          <w:sz w:val="24"/>
        </w:rPr>
        <w:t>；</w:t>
      </w:r>
      <w:bookmarkEnd w:id="3"/>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5"/>
          <w:rFonts w:hint="eastAsia" w:ascii="宋体" w:hAnsi="宋体" w:cs="宋体"/>
          <w:color w:val="auto"/>
          <w:kern w:val="0"/>
          <w:sz w:val="24"/>
        </w:rPr>
        <w:t>zcglccg@126.com</w:t>
      </w:r>
      <w:r>
        <w:rPr>
          <w:rStyle w:val="25"/>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kern w:val="0"/>
          <w:sz w:val="24"/>
        </w:rPr>
      </w:pPr>
      <w:bookmarkStart w:id="4" w:name="_Hlk165294099"/>
      <w:r>
        <w:rPr>
          <w:rFonts w:hint="eastAsia" w:ascii="宋体" w:hAnsi="宋体" w:cs="宋体"/>
          <w:color w:val="000000"/>
          <w:kern w:val="0"/>
          <w:sz w:val="24"/>
        </w:rPr>
        <w:t>1、响应文件递交开始时间：2024年</w:t>
      </w:r>
      <w:r>
        <w:rPr>
          <w:rFonts w:hint="eastAsia" w:ascii="宋体" w:hAnsi="宋体" w:cs="宋体"/>
          <w:kern w:val="0"/>
          <w:sz w:val="24"/>
        </w:rPr>
        <w:t>6月</w:t>
      </w:r>
      <w:r>
        <w:rPr>
          <w:rFonts w:hint="eastAsia" w:ascii="宋体" w:hAnsi="宋体" w:cs="宋体"/>
          <w:kern w:val="0"/>
          <w:sz w:val="24"/>
          <w:lang w:val="en-US" w:eastAsia="zh-CN"/>
        </w:rPr>
        <w:t>24</w:t>
      </w:r>
      <w:r>
        <w:rPr>
          <w:rFonts w:hint="eastAsia" w:ascii="宋体" w:hAnsi="宋体" w:cs="宋体"/>
          <w:kern w:val="0"/>
          <w:sz w:val="24"/>
        </w:rPr>
        <w:t>日北京时间9:</w:t>
      </w:r>
      <w:r>
        <w:rPr>
          <w:rFonts w:hint="eastAsia" w:ascii="宋体" w:hAnsi="宋体" w:cs="宋体"/>
          <w:kern w:val="0"/>
          <w:sz w:val="24"/>
          <w:lang w:val="en-US" w:eastAsia="zh-CN"/>
        </w:rPr>
        <w:t>3</w:t>
      </w:r>
      <w:r>
        <w:rPr>
          <w:rFonts w:hint="eastAsia" w:ascii="宋体" w:hAnsi="宋体" w:cs="宋体"/>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kern w:val="0"/>
          <w:sz w:val="24"/>
        </w:rPr>
        <w:t>2、响应文件递交截止时间（开标时间）：2024年6月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color w:val="000000"/>
          <w:kern w:val="0"/>
          <w:sz w:val="24"/>
        </w:rPr>
        <w:t>北京时间9:</w:t>
      </w:r>
      <w:r>
        <w:rPr>
          <w:rFonts w:hint="eastAsia" w:ascii="宋体" w:hAnsi="宋体" w:cs="宋体"/>
          <w:color w:val="000000"/>
          <w:kern w:val="0"/>
          <w:sz w:val="24"/>
          <w:lang w:val="en-US" w:eastAsia="zh-CN"/>
        </w:rPr>
        <w:t>3</w:t>
      </w:r>
      <w:bookmarkStart w:id="15" w:name="_GoBack"/>
      <w:bookmarkEnd w:id="15"/>
      <w:r>
        <w:rPr>
          <w:rFonts w:hint="eastAsia" w:ascii="宋体" w:hAnsi="宋体" w:cs="宋体"/>
          <w:color w:val="000000"/>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3、开标地点：湖南化工职业技术学院行政楼110室。</w:t>
      </w:r>
    </w:p>
    <w:bookmarkEnd w:id="4"/>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5"/>
        <w:ind w:firstLine="480"/>
        <w:rPr>
          <w:color w:val="000000"/>
        </w:rPr>
      </w:pPr>
    </w:p>
    <w:p>
      <w:pPr>
        <w:pStyle w:val="6"/>
        <w:rPr>
          <w:color w:val="000000"/>
        </w:rPr>
      </w:pPr>
    </w:p>
    <w:p>
      <w:pPr>
        <w:pStyle w:val="6"/>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8"/>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8"/>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before="156" w:beforeLines="50" w:after="156" w:afterLines="5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w:t>
      </w:r>
      <w:bookmarkStart w:id="5" w:name="_Hlk160810094"/>
      <w:r>
        <w:rPr>
          <w:rFonts w:hint="eastAsia" w:ascii="宋体" w:hAnsi="宋体" w:cs="宋体"/>
          <w:color w:val="000000"/>
          <w:kern w:val="0"/>
          <w:sz w:val="24"/>
        </w:rPr>
        <w:t>湖南化工职业技术学院</w:t>
      </w:r>
      <w:bookmarkEnd w:id="5"/>
      <w:r>
        <w:rPr>
          <w:rFonts w:hint="eastAsia" w:cs="宋体"/>
          <w:color w:val="000000" w:themeColor="text1"/>
          <w:sz w:val="24"/>
          <w14:textFill>
            <w14:solidFill>
              <w14:schemeClr w14:val="tx1"/>
            </w14:solidFill>
          </w14:textFill>
        </w:rPr>
        <w:t>五金、日杂及木质材料</w:t>
      </w:r>
      <w:r>
        <w:rPr>
          <w:rFonts w:hint="eastAsia" w:ascii="宋体" w:hAnsi="宋体" w:cs="宋体"/>
          <w:color w:val="000000"/>
          <w:kern w:val="0"/>
          <w:sz w:val="24"/>
        </w:rPr>
        <w:t>供应商采购项目合同书》。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（一）基本资格条件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3、具有履行合同所必需的设备和专业技术服务能力；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6、已入驻湖南省财政厅政府采购电子卖场证明。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numPr>
          <w:ilvl w:val="0"/>
          <w:numId w:val="3"/>
        </w:num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项目需求</w:t>
      </w:r>
    </w:p>
    <w:p>
      <w:pPr>
        <w:pStyle w:val="81"/>
        <w:numPr>
          <w:ilvl w:val="0"/>
          <w:numId w:val="4"/>
        </w:numPr>
        <w:spacing w:before="60" w:after="80" w:line="360" w:lineRule="auto"/>
        <w:ind w:left="479" w:firstLine="0" w:firstLineChars="0"/>
        <w:rPr>
          <w:rFonts w:ascii="宋体" w:hAnsi="宋体" w:cs="宋体"/>
          <w:bCs/>
          <w:color w:val="000000"/>
          <w:sz w:val="24"/>
        </w:rPr>
      </w:pPr>
      <w:r>
        <w:rPr>
          <w:rFonts w:hint="eastAsia" w:ascii="宋体" w:hAnsi="宋体" w:cs="宋体"/>
          <w:bCs/>
          <w:color w:val="000000"/>
          <w:sz w:val="24"/>
        </w:rPr>
        <w:t>项目慨况：</w:t>
      </w:r>
    </w:p>
    <w:p>
      <w:pPr>
        <w:pStyle w:val="18"/>
        <w:widowControl/>
        <w:ind w:leftChars="0"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、项目名称：五金、日杂及木质材料</w:t>
      </w:r>
      <w:r>
        <w:rPr>
          <w:rFonts w:hint="eastAsia" w:ascii="宋体" w:hAnsi="宋体" w:cs="宋体"/>
          <w:color w:val="000000"/>
          <w:kern w:val="0"/>
          <w:sz w:val="24"/>
        </w:rPr>
        <w:t>供应商</w:t>
      </w:r>
      <w:r>
        <w:rPr>
          <w:rFonts w:hint="eastAsia" w:cs="宋体"/>
          <w:color w:val="000000" w:themeColor="text1"/>
          <w:sz w:val="24"/>
          <w14:textFill>
            <w14:solidFill>
              <w14:schemeClr w14:val="tx1"/>
            </w14:solidFill>
          </w14:textFill>
        </w:rPr>
        <w:t>采购项目</w:t>
      </w:r>
    </w:p>
    <w:p>
      <w:pPr>
        <w:pStyle w:val="18"/>
        <w:widowControl/>
        <w:ind w:leftChars="0" w:firstLine="0" w:firstLineChars="0"/>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、选定单位：选定一家供应商</w:t>
      </w:r>
    </w:p>
    <w:p>
      <w:pPr>
        <w:pStyle w:val="18"/>
        <w:widowControl/>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3、服务期限：一年</w:t>
      </w:r>
    </w:p>
    <w:p>
      <w:pPr>
        <w:ind w:firstLine="480" w:firstLineChars="200"/>
        <w:rPr>
          <w:sz w:val="24"/>
        </w:rPr>
      </w:pPr>
      <w:r>
        <w:rPr>
          <w:rFonts w:hint="eastAsia" w:ascii="宋体" w:hAnsi="宋体" w:cs="宋体"/>
          <w:bCs/>
          <w:color w:val="000000"/>
          <w:sz w:val="24"/>
        </w:rPr>
        <w:t>（二）</w:t>
      </w:r>
      <w:r>
        <w:rPr>
          <w:rFonts w:hint="eastAsia"/>
          <w:sz w:val="24"/>
        </w:rPr>
        <w:t>项目报价：</w:t>
      </w:r>
    </w:p>
    <w:p>
      <w:pPr>
        <w:pStyle w:val="17"/>
        <w:widowControl w:val="0"/>
        <w:tabs>
          <w:tab w:val="left" w:pos="3420"/>
        </w:tabs>
        <w:spacing w:before="0" w:beforeAutospacing="0" w:after="0" w:afterAutospacing="0" w:line="360" w:lineRule="exact"/>
        <w:ind w:firstLine="482" w:firstLineChars="200"/>
        <w:jc w:val="both"/>
        <w:rPr>
          <w:rFonts w:cs="宋体"/>
          <w:b/>
          <w:color w:val="000000" w:themeColor="text1"/>
          <w:highlight w:val="lightGray"/>
          <w14:textFill>
            <w14:solidFill>
              <w14:schemeClr w14:val="tx1"/>
            </w14:solidFill>
          </w14:textFill>
        </w:rPr>
      </w:pPr>
      <w:r>
        <w:rPr>
          <w:rFonts w:hint="eastAsia" w:cs="宋体"/>
          <w:b/>
          <w:color w:val="000000" w:themeColor="text1"/>
          <w14:textFill>
            <w14:solidFill>
              <w14:schemeClr w14:val="tx1"/>
            </w14:solidFill>
          </w14:textFill>
        </w:rPr>
        <w:t>1、五金材料名称、规格性能、品牌及报价</w:t>
      </w:r>
    </w:p>
    <w:tbl>
      <w:tblPr>
        <w:tblStyle w:val="19"/>
        <w:tblW w:w="10132" w:type="dxa"/>
        <w:tblInd w:w="-287" w:type="dxa"/>
        <w:tblLayout w:type="fixed"/>
        <w:tblCellMar>
          <w:top w:w="0" w:type="dxa"/>
          <w:left w:w="108" w:type="dxa"/>
          <w:bottom w:w="0" w:type="dxa"/>
          <w:right w:w="108" w:type="dxa"/>
        </w:tblCellMar>
      </w:tblPr>
      <w:tblGrid>
        <w:gridCol w:w="809"/>
        <w:gridCol w:w="1533"/>
        <w:gridCol w:w="1167"/>
        <w:gridCol w:w="875"/>
        <w:gridCol w:w="1234"/>
        <w:gridCol w:w="1119"/>
        <w:gridCol w:w="668"/>
        <w:gridCol w:w="777"/>
        <w:gridCol w:w="914"/>
        <w:gridCol w:w="1036"/>
      </w:tblGrid>
      <w:tr>
        <w:tblPrEx>
          <w:tblCellMar>
            <w:top w:w="0" w:type="dxa"/>
            <w:left w:w="108" w:type="dxa"/>
            <w:bottom w:w="0" w:type="dxa"/>
            <w:right w:w="108" w:type="dxa"/>
          </w:tblCellMar>
        </w:tblPrEx>
        <w:trPr>
          <w:trHeight w:val="573"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物品名称</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规格型号</w:t>
            </w:r>
          </w:p>
        </w:tc>
        <w:tc>
          <w:tcPr>
            <w:tcW w:w="3228"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品牌</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单位</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91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1036" w:type="dxa"/>
            <w:tcBorders>
              <w:top w:val="single" w:color="auto" w:sz="6" w:space="0"/>
              <w:left w:val="single" w:color="auto" w:sz="6" w:space="0"/>
              <w:bottom w:val="single" w:color="auto" w:sz="6" w:space="0"/>
              <w:right w:val="single" w:color="auto" w:sz="6" w:space="0"/>
            </w:tcBorders>
            <w:vAlign w:val="center"/>
          </w:tcPr>
          <w:p>
            <w:pPr>
              <w:spacing w:line="360" w:lineRule="auto"/>
              <w:ind w:left="200" w:hanging="200" w:hangingChars="1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优惠率</w:t>
            </w: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仟力</w:t>
            </w:r>
          </w:p>
        </w:tc>
        <w:tc>
          <w:tcPr>
            <w:tcW w:w="123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111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梅花</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仟力</w:t>
            </w:r>
          </w:p>
        </w:tc>
        <w:tc>
          <w:tcPr>
            <w:tcW w:w="123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111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梅花</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仟力</w:t>
            </w:r>
          </w:p>
        </w:tc>
        <w:tc>
          <w:tcPr>
            <w:tcW w:w="123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111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梅花</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不锈钢手提门锁（钥匙8片）</w:t>
            </w:r>
            <w:r>
              <w:rPr>
                <w:rFonts w:hint="eastAsia" w:ascii="宋体" w:hAnsi="宋体" w:cs="宋体"/>
                <w:color w:val="000000"/>
                <w:kern w:val="0"/>
                <w:sz w:val="20"/>
                <w:szCs w:val="20"/>
              </w:rPr>
              <w:t>★</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大50（全铜锁芯）</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博纳</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不锈钢手提门锁（钥匙8片）</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小50（全铜锁芯）</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博纳</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阳台门锁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30-35</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博纳</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实木门锁体</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大50、小50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鑫佳美</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永绅</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安强</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全铜锁芯（钥匙8片）</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博纳</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全铜锁芯（钥匙8片）</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博纳</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r>
              <w:rPr>
                <w:rFonts w:hint="eastAsia" w:ascii="宋体" w:hAnsi="宋体" w:cs="宋体"/>
                <w:color w:val="000000"/>
                <w:kern w:val="0"/>
                <w:sz w:val="20"/>
                <w:szCs w:val="20"/>
              </w:rPr>
              <w:t>★</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耐奢</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金美意</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德亚龙</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镁金</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金点原子</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镁金</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金点原子</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厕所门合页</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120*35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阳台门合页</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100*30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铁插销</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100mm</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铁插销</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铝合金窗扣(材质合金铝)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restart"/>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固万丰</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奥峰</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固万丰</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奥峰</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固万丰</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奥峰</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固万丰</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奥峰</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优惠后报价汇总/元</w:t>
            </w:r>
          </w:p>
        </w:tc>
        <w:tc>
          <w:tcPr>
            <w:tcW w:w="6754"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bl>
    <w:p>
      <w:pPr>
        <w:spacing w:before="60" w:after="80" w:line="360" w:lineRule="auto"/>
        <w:jc w:val="left"/>
        <w:rPr>
          <w:lang w:bidi="ar"/>
        </w:rPr>
      </w:pPr>
      <w:bookmarkStart w:id="6" w:name="_Hlk169257340"/>
      <w:r>
        <w:rPr>
          <w:rFonts w:hint="eastAsia" w:cs="宋体"/>
          <w:bCs/>
          <w:color w:val="000000" w:themeColor="text1"/>
          <w:sz w:val="24"/>
          <w:lang w:bidi="ar"/>
          <w14:textFill>
            <w14:solidFill>
              <w14:schemeClr w14:val="tx1"/>
            </w14:solidFill>
          </w14:textFill>
        </w:rPr>
        <w:t>注：（</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）报价为推荐三个品牌的综合均价。（2）上表中未列的其它商品价格不高于市场价格的基础上向甲方按优惠率供货</w:t>
      </w:r>
      <w:r>
        <w:rPr>
          <w:rFonts w:ascii="宋体" w:hAnsi="宋体" w:cs="宋体"/>
          <w:sz w:val="24"/>
        </w:rPr>
        <w:t>且不得高于政采云的平均成交价</w:t>
      </w:r>
      <w:r>
        <w:rPr>
          <w:rFonts w:hint="eastAsia" w:ascii="宋体" w:hAnsi="宋体" w:cs="宋体"/>
          <w:sz w:val="24"/>
        </w:rPr>
        <w:t>（所有货物均需要单独上架）</w:t>
      </w:r>
      <w:r>
        <w:rPr>
          <w:rFonts w:ascii="宋体" w:hAnsi="宋体" w:cs="宋体"/>
          <w:sz w:val="24"/>
        </w:rPr>
        <w:t>。</w:t>
      </w: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bookmarkStart w:id="7" w:name="_Hlk169256993"/>
      <w:bookmarkStart w:id="8" w:name="_Hlk169257368"/>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w:t>
      </w:r>
      <w:bookmarkEnd w:id="7"/>
      <w:r>
        <w:rPr>
          <w:rFonts w:hint="eastAsia" w:ascii="宋体" w:hAnsi="宋体" w:cs="宋体"/>
          <w:color w:val="FF0000"/>
          <w:kern w:val="0"/>
          <w:szCs w:val="21"/>
        </w:rPr>
        <w:t>[分项报价×（1-优惠率）]</w:t>
      </w:r>
    </w:p>
    <w:bookmarkEnd w:id="6"/>
    <w:bookmarkEnd w:id="8"/>
    <w:p>
      <w:pPr>
        <w:spacing w:before="156" w:beforeLines="50" w:line="360" w:lineRule="auto"/>
        <w:ind w:firstLine="482" w:firstLineChars="200"/>
        <w:rPr>
          <w:rFonts w:ascii="宋体" w:hAnsi="宋体" w:cs="宋体"/>
          <w:b/>
          <w:color w:val="000000" w:themeColor="text1"/>
          <w:sz w:val="24"/>
          <w:highlight w:val="lightGray"/>
          <w14:textFill>
            <w14:solidFill>
              <w14:schemeClr w14:val="tx1"/>
            </w14:solidFill>
          </w14:textFill>
        </w:rPr>
      </w:pPr>
      <w:r>
        <w:rPr>
          <w:rFonts w:hint="eastAsia" w:cs="宋体"/>
          <w:b/>
          <w:color w:val="000000" w:themeColor="text1"/>
          <w:sz w:val="24"/>
          <w:lang w:bidi="ar"/>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日杂及木质材料名称、规格性能、品牌及报价</w:t>
      </w:r>
    </w:p>
    <w:tbl>
      <w:tblPr>
        <w:tblStyle w:val="19"/>
        <w:tblpPr w:leftFromText="180" w:rightFromText="180" w:vertAnchor="text" w:horzAnchor="page" w:tblpX="1018" w:tblpY="460"/>
        <w:tblOverlap w:val="never"/>
        <w:tblW w:w="10173" w:type="dxa"/>
        <w:tblInd w:w="0" w:type="dxa"/>
        <w:tblLayout w:type="fixed"/>
        <w:tblCellMar>
          <w:top w:w="0" w:type="dxa"/>
          <w:left w:w="0" w:type="dxa"/>
          <w:bottom w:w="0" w:type="dxa"/>
          <w:right w:w="0" w:type="dxa"/>
        </w:tblCellMar>
      </w:tblPr>
      <w:tblGrid>
        <w:gridCol w:w="586"/>
        <w:gridCol w:w="1446"/>
        <w:gridCol w:w="2227"/>
        <w:gridCol w:w="1022"/>
        <w:gridCol w:w="887"/>
        <w:gridCol w:w="927"/>
        <w:gridCol w:w="569"/>
        <w:gridCol w:w="668"/>
        <w:gridCol w:w="791"/>
        <w:gridCol w:w="1050"/>
      </w:tblGrid>
      <w:tr>
        <w:tblPrEx>
          <w:tblCellMar>
            <w:top w:w="0" w:type="dxa"/>
            <w:left w:w="0" w:type="dxa"/>
            <w:bottom w:w="0" w:type="dxa"/>
            <w:right w:w="0" w:type="dxa"/>
          </w:tblCellMar>
        </w:tblPrEx>
        <w:trPr>
          <w:trHeight w:val="691"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物品名称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规格型号</w:t>
            </w:r>
          </w:p>
        </w:tc>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themeColor="text1"/>
                <w:szCs w:val="21"/>
                <w14:textFill>
                  <w14:solidFill>
                    <w14:schemeClr w14:val="tx1"/>
                  </w14:solidFill>
                </w14:textFill>
              </w:rPr>
            </w:pPr>
          </w:p>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品牌</w:t>
            </w:r>
          </w:p>
          <w:p>
            <w:pPr>
              <w:widowControl/>
              <w:textAlignment w:val="center"/>
              <w:rPr>
                <w:rFonts w:ascii="宋体" w:hAnsi="宋体" w:cs="宋体"/>
                <w:color w:val="000000" w:themeColor="text1"/>
                <w:kern w:val="0"/>
                <w:szCs w:val="21"/>
                <w14:textFill>
                  <w14:solidFill>
                    <w14:schemeClr w14:val="tx1"/>
                  </w14:solidFill>
                </w14:textFill>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数量</w:t>
            </w:r>
          </w:p>
        </w:tc>
        <w:tc>
          <w:tcPr>
            <w:tcW w:w="79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优惠率</w:t>
            </w: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海棉拖把</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pp/pvA/不锈钢38cm</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好媳妇</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妙雅</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米创</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restart"/>
            <w:tcBorders>
              <w:top w:val="single" w:color="000000" w:sz="4" w:space="0"/>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棉布拖把</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纯棉布条手工订制</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抹布</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35x75纳米磨毛</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鸟王</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棉之情</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红日</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条</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编织袋</w:t>
            </w:r>
            <w:r>
              <w:rPr>
                <w:rFonts w:hint="eastAsia" w:ascii="宋体" w:hAnsi="宋体" w:cs="宋体"/>
                <w:color w:val="000000"/>
                <w:kern w:val="0"/>
                <w:sz w:val="20"/>
                <w:szCs w:val="20"/>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80㎝涂塑材料制防水帆布</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象肚</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炫亮</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优芬</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背心式塑料垃圾袋</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35*56*3丝，材质PE-HD</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吉祥如意</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金悦</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洁乐惠</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扫把簸箕套装</w:t>
            </w:r>
            <w:r>
              <w:rPr>
                <w:rFonts w:hint="eastAsia" w:ascii="宋体" w:hAnsi="宋体" w:cs="宋体"/>
                <w:color w:val="000000"/>
                <w:kern w:val="0"/>
                <w:sz w:val="20"/>
                <w:szCs w:val="20"/>
              </w:rPr>
              <w:t>★</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PP十PET十钢管</w:t>
            </w:r>
          </w:p>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常规</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得翔</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米创</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家杰美</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791"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带轮大垃圾桶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260L, 材质HDPE</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带轮大垃圾桶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140L,50*56*78cm,HDPE</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脚踏式双桶垃圾桶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20L*2,43*30*48，材质HD-PE</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小垃圾桶</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280×210×290，pp材质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嘉乐惠</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品彩</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小垃圾篓</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280×210×290，pp材质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嘉乐惠</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家和</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嘉宇</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镂空特厚防滑脚垫</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15*1.2m PVC材质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凯琳</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三G</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华亿</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01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两分类不锈钢双桶垃圾箱</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100*36*98,304不锈钢材质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免漆生态板</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1.22*2.44、E。环保生态板</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大丰</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莫干山</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爱尚林韵</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91"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93"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优惠后报价汇总/元</w:t>
            </w:r>
          </w:p>
        </w:tc>
        <w:tc>
          <w:tcPr>
            <w:tcW w:w="709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bl>
    <w:p>
      <w:pPr>
        <w:spacing w:before="60" w:after="80" w:line="360" w:lineRule="auto"/>
        <w:jc w:val="left"/>
        <w:rPr>
          <w:lang w:bidi="ar"/>
        </w:rPr>
      </w:pPr>
      <w:r>
        <w:rPr>
          <w:rFonts w:hint="eastAsia" w:cs="宋体"/>
          <w:bCs/>
          <w:color w:val="000000" w:themeColor="text1"/>
          <w:sz w:val="24"/>
          <w:lang w:bidi="ar"/>
          <w14:textFill>
            <w14:solidFill>
              <w14:schemeClr w14:val="tx1"/>
            </w14:solidFill>
          </w14:textFill>
        </w:rPr>
        <w:t>注：（</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）报价为推荐三个品牌的综合均价。（2）上表中未列的其它商品价格不高于市场价格的基础上向甲方按优惠率供货</w:t>
      </w:r>
      <w:r>
        <w:rPr>
          <w:rFonts w:ascii="宋体" w:hAnsi="宋体" w:cs="宋体"/>
          <w:sz w:val="24"/>
        </w:rPr>
        <w:t>且不得高于政采云的平均成交价</w:t>
      </w:r>
      <w:r>
        <w:rPr>
          <w:rFonts w:hint="eastAsia" w:ascii="宋体" w:hAnsi="宋体" w:cs="宋体"/>
          <w:sz w:val="24"/>
        </w:rPr>
        <w:t>（所有货物均需要单独上架）</w:t>
      </w:r>
      <w:r>
        <w:rPr>
          <w:rFonts w:ascii="宋体" w:hAnsi="宋体" w:cs="宋体"/>
          <w:sz w:val="24"/>
        </w:rPr>
        <w:t>。</w:t>
      </w: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（三）</w:t>
      </w:r>
      <w:r>
        <w:rPr>
          <w:rFonts w:hint="eastAsia" w:ascii="宋体" w:hAnsi="宋体" w:cs="宋体"/>
          <w:bCs/>
          <w:color w:val="000000"/>
          <w:sz w:val="24"/>
        </w:rPr>
        <w:t>项目要求：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（说明：本方案中甲方为采购方；乙方为供应商）</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第一条 供货价格确定原则</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采购方、供应商约定：乙方向甲方提供的建材日杂依下述原则来确定产品的价格并结算货物价款：</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1、乙方承诺：向甲方供应的产品价格不得高于招标比选价格与供货同期的株洲市之最低市场价。</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2、乙方承诺：若其所提供任一产品之价格与前述第1款约定不符的，则应以该产品所报价格的双倍为标准，向甲方支付违约金。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为此，乙方并承诺：前述产品价格的确定，由甲方通过审计或市场调查（询价）的方式来确定，甲方所得出的产品价格具有终局性，乙方对此不持任何异议。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3、前述产品的价格为到岸价、含税价，即乙方所供产品的价格中已包含货款、运输装卸费、税费、保管费、保险费、保管费等，甲方不另支付其他任何费用。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4、在满足前述第1、2、3款条件之前提下，甲方对乙方所供产品每季度按投标货物总价值的总优惠率结算货物价款。</w:t>
      </w:r>
    </w:p>
    <w:p>
      <w:pPr>
        <w:autoSpaceDE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第二条、货物采购要求</w:t>
      </w:r>
    </w:p>
    <w:p>
      <w:pPr>
        <w:topLinePunct/>
        <w:autoSpaceDE w:val="0"/>
        <w:spacing w:line="360" w:lineRule="auto"/>
        <w:ind w:firstLine="480" w:firstLineChars="200"/>
        <w:jc w:val="left"/>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、所供产品是全新的一线优质后勤指定的环保品牌，是用一流的工艺和最佳材料制造而成的正品。</w:t>
      </w:r>
    </w:p>
    <w:p>
      <w:pPr>
        <w:topLinePunct/>
        <w:autoSpaceDE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2、供应的产品价格不得高于供货同期的株洲市之最低市场价，严格按照投标时投标价和优惠率结算货款。若所报价格高于市场价，愿承担该宗货物一倍及以上的惩罚性补偿。</w:t>
      </w:r>
    </w:p>
    <w:p>
      <w:pPr>
        <w:widowControl/>
        <w:autoSpaceDE w:val="0"/>
        <w:spacing w:after="120" w:line="360" w:lineRule="auto"/>
        <w:ind w:firstLine="480" w:firstLineChars="200"/>
        <w:rPr>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3、产品的价格为到岸价、含税价，即乙方所供产品的价格中已包含货款、运输装卸费、税费、保管费、保险费、保管费等，甲方不再支付其他任何费用。</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rFonts w:hint="eastAsia" w:ascii="微软雅黑" w:hAnsi="微软雅黑" w:eastAsia="微软雅黑" w:cs="微软雅黑"/>
          <w:b/>
          <w:bCs/>
          <w:sz w:val="24"/>
        </w:rPr>
        <w:t>★</w:t>
      </w:r>
      <w:r>
        <w:rPr>
          <w:b/>
          <w:bCs/>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、投标时需提供带</w:t>
      </w:r>
      <w:r>
        <w:rPr>
          <w:rFonts w:hint="eastAsia" w:ascii="微软雅黑" w:hAnsi="微软雅黑" w:eastAsia="微软雅黑" w:cs="微软雅黑"/>
          <w:b/>
          <w:bCs/>
          <w:sz w:val="24"/>
        </w:rPr>
        <w:t>★</w:t>
      </w:r>
      <w:r>
        <w:rPr>
          <w:rFonts w:hint="eastAsia" w:ascii="宋体" w:hAnsi="宋体" w:cs="宋体"/>
          <w:b/>
          <w:bCs/>
          <w:color w:val="000000" w:themeColor="text1"/>
          <w:sz w:val="24"/>
          <w14:textFill>
            <w14:solidFill>
              <w14:schemeClr w14:val="tx1"/>
            </w14:solidFill>
          </w14:textFill>
        </w:rPr>
        <w:t>样品或图片，并提供生产许可证、技术性能标准、产品合格证、生产批件及检测报告等相关资料复印件。</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、所供货物的产地、规格型号、花色、品种与所提供的样品图片相符。</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、供货地点时间：按后勤采购要求分批供应，及时送达学校后勤处。</w:t>
      </w:r>
    </w:p>
    <w:p>
      <w:pPr>
        <w:widowControl/>
        <w:autoSpaceDE w:val="0"/>
        <w:spacing w:after="120" w:line="360" w:lineRule="auto"/>
        <w:ind w:firstLine="480" w:firstLineChars="200"/>
        <w:rPr>
          <w:rFonts w:ascii="Calibri" w:hAnsi="Calibri"/>
          <w:sz w:val="24"/>
        </w:rPr>
      </w:pPr>
      <w:r>
        <w:rPr>
          <w:rFonts w:ascii="Calibri" w:hAnsi="Calibri"/>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所有货物按照参数明细要在电子卖场分别上架（货物无链接不得采购），且价格不得高于政采云成交平均价和合同价格（按照最低价执行），采购人按照需求下单，确保物品质量（有样品的要与样品对比），要先下单后送货。</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第三条  产品缺陷及产品缺陷的处理方式</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应确保其提供的所有产品品质及质量均符合国家强制性执行标准、国家标准或行业标准，鉴于前述，乙方承诺：其向甲方提供之所有产品，其质量保证期均不得低于12个月（自该产品经甲方验收合格并交付使用之日起算），如国家、行业对该产品规定的质量保证期高于12个月的，则以国家、行业对该产品规定的质量保证期限为准；如该产品在质量保证期内发生质量或故障缺陷，则乙方应负责对该产品的质量或故障缺陷予以修复，因此产生的费用由乙方承担，且该产品的质量保证期限自该质量或故障消除后的次日重新开始计算；如该产品在质量保证期内连续或累计出现同一质量或故障缺陷的，则乙方应负责对该产品予以更换，因此产生的费用由乙方承担，且该更换产品的质量保证期限自该产品经甲方验收合格并交付使用后的次日重新开始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确保其所供产品是全新的，是用一流的工艺和最佳材料制造而成的正品，并完全符合认购时约定的质量、规格和性能的要求。乙方应确保其所供产品在正确安装、正常使用和保养条件下，在其使用寿命内应符合工艺、性能、使用的标准及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乙双方约定：乙方所供任一产品经验收合格并交付使用后在前述第1款所约定的质量保证期内，若该产品因设计、工艺或材料方面的缺陷出现无法正常使用、运行故障、不能满足设计或工艺要求、不能达到该产品使用性能等情形的，则由甲方负责修缮或采取其他补救措施，但因此产生的费用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所供产品之数量、产地、规格型号、花色、品种与约定不符或缺少产品合格证、检验证书、出厂证、使用说明书、技术及性能标准等文件资料（含文件不齐备的情形）的，甲方有权拒收该产品，乙方应采取更换、弥补、补充等补救措施，因此所产生的费用由乙方承担，并不得因此免除乙方逾期交货的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5、乙方所供产品经安装验收后或在质量保证期内，如出现下列产品缺陷情形之一的，乙方应负责采取维修、更换、弥补措施，并承担因此所发生的费用：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（1）产品选用材料与约定或设计、工艺要求不符的；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（2）产品不能正常使用或运行的；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（3）产品实际运行状况或性能与双方约定或该产品设计、标注的使用性能、标准不符的；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（4）产品不能满足工艺、设计、约定的功能或要求的；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（5）产品故障率高，月运行率或完好率低于80%的；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（6）产品具有不利于人身安全或财产安全之使用、安全缺陷或隐患的；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（7）产品系国家、行业规定的淘汰或限制使用产品的；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（8）产品运行或使用的能耗标准明显高于其他同类产品的；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（9）其他甲方确认的产品质量、使用、安全、功能缺陷等（以下简称产品缺陷）情形。</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前述，甲、乙双方约定：前述（1）至（9）项产品缺陷，甲方有权自行确认或甲方有权委托第三方（中介机构或质量技术、安全监督部门）通过鉴定程序予以确认，乙方对该产品缺陷之确认或鉴定程序及确认或鉴定结论均不持异议；如产品缺陷需通过第三方鉴定确定的，因此所发生的送检样品及检验费用，均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承诺：因履行所供产品缺陷之品质保证义务（包括并不限于本条前述第1至5款条款所列全部义务），乙方应自收到甲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甲方有权自行采取其他方式予以补救或救济，因此产生的风险、责任及费用均由乙方自行承担。</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第四条  产品缺陷的索赔</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鉴于乙方为甲方所需产品之供货商，甲、乙双方约定：凡因本产品缺陷（包括并不限于产品品质、质量、使用、功能、安全、技术、设计、材质等缺陷，下同）所致之损失（包括直接或间接损失、人身或财产损失，下同），甲方向乙方出具产品缺陷依据（产品缺陷依据甲方有权委托第三方通过鉴定程序来确认，乙方对该产品缺陷鉴定程序及鉴定结论自愿放弃抗辩权）及损失依据，乙方即应向甲方承担先行赔付的责任，乙方向甲方承担赔偿责任后，有权向其他责任方追偿。</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所供产品在检验、验收期内或质保期内，经甲方检验或甲方委托的第三人鉴定后，确认该产品与双方约定的产品品质不符或存在品质缺陷的，甲方有权选择下列途径、方式之一或综合二种以上的途径、方式向乙方索赔，乙方则对甲方索赔的方式自愿放弃抗辩权：</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无条件退货，将该产品的货款返还甲方，乙方并应承担由此发生的一切损失和费用，该损失和费用包括并不限于利息、银行手续费、运费、保险费、检验费、仓储费、装卸费、直接损失和间接损失、人身损失和财产损失、保管费及甲方因实现本权利所发生的其它合理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（2）如该产品经修复，尚有使用价值的，则根据该产品的可利用程度、实际价值、以及甲方因此所遭受的损失金额，甲方可折价受让该产品，但受让价格由甲方确定；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该产品部分缺陷可用新零件、部件或设备来更换缺陷部分，使之达到或具备正常的使用功能，则甲方可允许乙方对该产品的缺陷予以修复，但因此所产生的费用、风险及责任均由乙方自行承担，并该产品缺陷的质量保证期自该产品缺陷消除之日起重新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3、自甲方向乙方发出索赔通知之日起7天内，乙方未作答复的，即视为乙方接受甲方提出的索赔条件，甲方有权以乙方的货款直接充抵该产品缺陷之索赔款。</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第五条  产品货款结算、支付方式及期限</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乙方所供产品之货款，甲、乙双方应根据本合同诸条款所约定之内容、供货单、验收单等文件资料每半年就产品货款、违约金、赔偿金等内容结算一次，结算金额以人民币计价，如有结余并乙方向甲方提供正式发票后，则甲方向乙方支付货款的条件成就，在未办理结算及乙方未提供结算发票前，甲方即有权拒付该货款。</w:t>
      </w:r>
    </w:p>
    <w:p>
      <w:pPr>
        <w:topLinePunct/>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甲、乙双方依前款约定的程序办理货物价款结算时，结算清单上应注明品牌、规格、单价、数量等内容，合同到期前从所结算货款中预留1万作为产品质保金，质保期届满后，如产品未出现缺陷故障或质量缺陷，则甲方应将该质保金返还给乙方（本金，不计息）；如产品在质保期内出现缺陷故障或质量缺陷，则该质保金作为违约金，甲方有权不予返还给乙方。</w:t>
      </w:r>
    </w:p>
    <w:p>
      <w:pPr>
        <w:topLinePunct/>
        <w:spacing w:line="360" w:lineRule="auto"/>
        <w:ind w:firstLine="480" w:firstLineChars="200"/>
        <w:jc w:val="left"/>
        <w:rPr>
          <w:rFonts w:ascii="宋体" w:hAnsi="宋体" w:cs="宋体"/>
          <w:sz w:val="24"/>
        </w:rPr>
      </w:pPr>
      <w:r>
        <w:rPr>
          <w:rFonts w:hint="eastAsia" w:ascii="宋体" w:hAnsi="宋体" w:cs="宋体"/>
          <w:sz w:val="24"/>
        </w:rPr>
        <w:t>3、乙方指定的收款帐户为：</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第六条、售后服务要求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1、所有货物保修期按国家相关规定，如有特殊情况请于标书中注明。保修期起始日期按验收合格日期计算，保修期内应免费上门维修。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2、供货商应提供维修电话及联系人，用户报修后，须在下一工作日内派人员上门现场维护，并在48小时内解决问题。在规定时间内不能解决问题的设备，应提供相同档次的设备给用户代用。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3、保修期内，同一批产品30天内连续多次出现同一故障，供货商须无条件免费更换相应档次的货物。</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第七条  违约责任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1、乙方违反本合同或单次、单项送货单所载明的交货期限之约定，逾期交付货物的，则应以该批货物总价款的5%/天为标准，向甲方支付逾期交货违约金。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违反本合同或单次、单项送货单所载明的产品品种、花色、规则型号、品质之约定，所交产品不符的，甲方有权拒收该批产品，乙方除应承担更换及因此产生的损失和费用的责任外，如因此导致逾期交货的，同样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违反本合同第三条2款之约定，随机附带的产品文件资料及配品、随机工具不齐的，乙方除应承担补足、补齐的责任外，因此导致逾期交货的，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质保期内，如产品出现质量、缺陷、使用、功能、性能等方面故障的，乙方应自接到甲方的维修、维护通知之时起24小时内到达现场维修，并最迟应于到达现场之时起24小时内维修完毕并排除故障，使之达到正常使用的功能。乙方逾期未能到达现场维修或逾期未能排除故障的，应以500元/时为标准，向甲方支付违约金；甲方并有权另请第三方维修，因此产生的费用及导致的损失均应由乙方承担。</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第八条  其他特别约定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1、就不可抗力事件对本合同履行之影响及补救措施，双方约定如下：</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（1）经双方确认属于不可抗力的事件（即地震、山崩、海啸、泥石流、地陷、战争、骚乱等事件），致影响本合同履行的，履行合同的期限应予以延长，延长的期限应相当于事件所影响的期间；</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对其所供产品或提供的服务，应严格执行国家的三包政策规定，如产品生产商、供应商提供或承诺的质保期期限、产品品质保证的内容或项目与国家、行业规定的三包内容不一致的，则按较优的三包规定来执行。</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3、对复杂、成套设备或产品（具体由甲方界定），应由乙方负责调试、安装，给予甲方的操作人员以技术支持或培训，并承担因此所产生相关费用。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乙双方约定：守约方因实现本合同权利所发生的律师费、诉讼费、仲裁费、财产保全费、执行费、公证费、公告费、检验费、评估费、鉴定费、拍卖费、交通费、查询费、通讯费、差旅费等，均应由违约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5、双方确认的法律文书、资料、函件的送达地址及送达人为：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（1）甲方：湖南化工职业技术学院后勤处负责人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（2）乙方： </w:t>
      </w:r>
    </w:p>
    <w:p>
      <w:pPr>
        <w:spacing w:line="360" w:lineRule="auto"/>
        <w:ind w:firstLine="480" w:firstLineChars="200"/>
        <w:rPr>
          <w:rFonts w:ascii="黑体" w:hAnsi="黑体" w:eastAsia="黑体" w:cs="黑体"/>
          <w:b/>
          <w:color w:val="000000"/>
          <w:kern w:val="0"/>
          <w:sz w:val="24"/>
        </w:rPr>
      </w:pPr>
      <w:r>
        <w:rPr>
          <w:rFonts w:hint="eastAsia" w:ascii="宋体" w:hAnsi="宋体" w:cs="宋体"/>
          <w:color w:val="000000" w:themeColor="text1"/>
          <w:sz w:val="24"/>
          <w14:textFill>
            <w14:solidFill>
              <w14:schemeClr w14:val="tx1"/>
            </w14:solidFill>
          </w14:textFill>
        </w:rPr>
        <w:t>任何一方送达地址或送达人发生变更的，应书面通告另一方，否则，相对方依上述双方确认的地址、送达人而送达法律之文书、资料、函件等，均视为送达。</w:t>
      </w:r>
    </w:p>
    <w:p>
      <w:pPr>
        <w:topLinePunct/>
        <w:spacing w:line="360" w:lineRule="auto"/>
        <w:ind w:firstLine="482" w:firstLineChars="200"/>
        <w:jc w:val="left"/>
        <w:rPr>
          <w:rFonts w:ascii="宋体" w:hAnsi="宋体" w:cs="宋体"/>
          <w:b/>
          <w:bCs/>
          <w:sz w:val="24"/>
        </w:rPr>
      </w:pPr>
      <w:r>
        <w:rPr>
          <w:rFonts w:hint="eastAsia" w:ascii="宋体" w:hAnsi="宋体" w:cs="宋体"/>
          <w:b/>
          <w:bCs/>
          <w:sz w:val="24"/>
        </w:rPr>
        <w:t>第九条 投标样品</w:t>
      </w:r>
    </w:p>
    <w:p>
      <w:pPr>
        <w:topLinePunct/>
        <w:spacing w:line="360" w:lineRule="auto"/>
        <w:ind w:firstLine="480" w:firstLineChars="200"/>
        <w:jc w:val="left"/>
        <w:rPr>
          <w:rFonts w:ascii="宋体" w:hAnsi="宋体" w:cs="宋体"/>
          <w:sz w:val="24"/>
        </w:rPr>
      </w:pPr>
      <w:r>
        <w:rPr>
          <w:rFonts w:hint="eastAsia" w:ascii="宋体" w:hAnsi="宋体" w:cs="宋体"/>
          <w:sz w:val="24"/>
        </w:rPr>
        <w:t>1、本项目需提供以下样品：扫把簸箕套装（一套）、编织袋（1个）、全铜锁芯（一个）、不锈钢手提门锁（一个）</w:t>
      </w:r>
    </w:p>
    <w:p>
      <w:pPr>
        <w:topLinePunct/>
        <w:spacing w:line="360" w:lineRule="auto"/>
        <w:ind w:firstLine="480" w:firstLineChars="200"/>
        <w:jc w:val="left"/>
        <w:rPr>
          <w:rFonts w:ascii="宋体" w:hAnsi="宋体" w:cs="宋体"/>
          <w:sz w:val="24"/>
        </w:rPr>
      </w:pPr>
      <w:r>
        <w:rPr>
          <w:rFonts w:hint="eastAsia" w:ascii="宋体" w:hAnsi="宋体" w:cs="宋体"/>
          <w:sz w:val="24"/>
        </w:rPr>
        <w:t>2、投标样品密封包装，包装盒内外不能有投标人、制造、销售厂商有关的标识（如厂名、品牌等），否则样品不计分。包装盒外注明项目编号、项目名称、样品名称、样品数量及规格。</w:t>
      </w:r>
    </w:p>
    <w:p>
      <w:pPr>
        <w:topLinePunct/>
        <w:spacing w:line="360" w:lineRule="auto"/>
        <w:ind w:firstLine="480" w:firstLineChars="200"/>
        <w:jc w:val="left"/>
        <w:rPr>
          <w:rFonts w:ascii="宋体" w:hAnsi="宋体" w:cs="宋体"/>
          <w:sz w:val="24"/>
        </w:rPr>
      </w:pPr>
      <w:r>
        <w:rPr>
          <w:rFonts w:hint="eastAsia" w:ascii="宋体" w:hAnsi="宋体" w:cs="宋体"/>
          <w:sz w:val="24"/>
        </w:rPr>
        <w:t>3、样品单独封装由采购人签收。所有样品必须在投标截止时间前提交，否则，采购人或采购代理机构依法拒收。</w:t>
      </w:r>
    </w:p>
    <w:p>
      <w:pPr>
        <w:topLinePunct/>
        <w:spacing w:line="360" w:lineRule="auto"/>
        <w:ind w:firstLine="480" w:firstLineChars="200"/>
        <w:jc w:val="left"/>
        <w:rPr>
          <w:rFonts w:ascii="宋体" w:hAnsi="宋体" w:cs="宋体"/>
          <w:sz w:val="24"/>
        </w:rPr>
      </w:pPr>
      <w:r>
        <w:rPr>
          <w:rFonts w:hint="eastAsia" w:ascii="宋体" w:hAnsi="宋体" w:cs="宋体"/>
          <w:sz w:val="24"/>
        </w:rPr>
        <w:t>4、中标人的样品将由采购人按规定进行保管、封存，作为履约验收的参考依据之一。若中标人所供货物不对板，采购人有权拒收或退货，并拒绝付款。采购人有权视情节轻重，处以警告、终止合同并追究相应法律责任等处理。</w:t>
      </w:r>
    </w:p>
    <w:p>
      <w:pPr>
        <w:topLinePunct/>
        <w:spacing w:line="360" w:lineRule="auto"/>
        <w:ind w:firstLine="480" w:firstLineChars="200"/>
        <w:jc w:val="left"/>
        <w:rPr>
          <w:rFonts w:ascii="宋体" w:hAnsi="宋体" w:cs="宋体"/>
          <w:sz w:val="24"/>
        </w:rPr>
      </w:pPr>
      <w:r>
        <w:rPr>
          <w:rFonts w:hint="eastAsia" w:ascii="宋体" w:hAnsi="宋体" w:cs="宋体"/>
          <w:sz w:val="24"/>
        </w:rPr>
        <w:t>5、与提供样品有关的一切费用由投标人自理。</w:t>
      </w:r>
    </w:p>
    <w:p>
      <w:pPr>
        <w:topLinePunct/>
        <w:spacing w:line="360" w:lineRule="auto"/>
        <w:ind w:firstLine="480" w:firstLineChars="200"/>
        <w:jc w:val="left"/>
        <w:rPr>
          <w:rFonts w:ascii="宋体" w:hAnsi="宋体" w:cs="宋体"/>
          <w:sz w:val="24"/>
        </w:rPr>
      </w:pPr>
      <w:r>
        <w:rPr>
          <w:rFonts w:hint="eastAsia" w:ascii="宋体" w:hAnsi="宋体" w:cs="宋体"/>
          <w:sz w:val="24"/>
        </w:rPr>
        <w:t>6、采购人对投标人所递交样品的破损或质量不负任何责任，未中标的投标人样品招标人于开标活动结束后及时退还，3日内未领走的，采购人有权自行处置。</w:t>
      </w:r>
    </w:p>
    <w:p>
      <w:pPr>
        <w:topLinePunct/>
        <w:spacing w:line="360" w:lineRule="auto"/>
        <w:ind w:firstLine="480" w:firstLineChars="200"/>
        <w:jc w:val="left"/>
        <w:rPr>
          <w:rFonts w:ascii="宋体" w:hAnsi="宋体" w:cs="宋体"/>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topLinePunct/>
        <w:spacing w:line="360" w:lineRule="auto"/>
        <w:jc w:val="left"/>
        <w:rPr>
          <w:rFonts w:hint="eastAsia" w:ascii="黑体" w:hAnsi="黑体" w:eastAsia="黑体" w:cs="黑体"/>
          <w:b/>
          <w:color w:val="000000"/>
          <w:kern w:val="0"/>
          <w:sz w:val="24"/>
        </w:rPr>
      </w:pPr>
    </w:p>
    <w:p>
      <w:pPr>
        <w:topLinePunct/>
        <w:spacing w:line="360" w:lineRule="auto"/>
        <w:jc w:val="left"/>
        <w:rPr>
          <w:rFonts w:hint="eastAsia" w:ascii="黑体" w:hAnsi="黑体" w:eastAsia="黑体" w:cs="黑体"/>
          <w:b/>
          <w:color w:val="000000"/>
          <w:kern w:val="0"/>
          <w:sz w:val="24"/>
        </w:rPr>
      </w:pPr>
    </w:p>
    <w:p>
      <w:pPr>
        <w:topLinePunct/>
        <w:spacing w:line="360" w:lineRule="auto"/>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jc w:val="left"/>
        <w:rPr>
          <w:rFonts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w:t>
      </w:r>
      <w:bookmarkStart w:id="9"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9"/>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1、</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2、</w:t>
      </w:r>
    </w:p>
    <w:p>
      <w:pPr>
        <w:widowControl/>
        <w:spacing w:line="420" w:lineRule="exact"/>
        <w:ind w:firstLine="960" w:firstLineChars="400"/>
        <w:jc w:val="left"/>
        <w:rPr>
          <w:rFonts w:ascii="宋体" w:hAnsi="宋体" w:cs="宋体"/>
          <w:color w:val="000000"/>
          <w:kern w:val="0"/>
          <w:sz w:val="24"/>
        </w:rPr>
      </w:pPr>
    </w:p>
    <w:p>
      <w:pPr>
        <w:widowControl/>
        <w:spacing w:line="420" w:lineRule="exact"/>
        <w:ind w:firstLine="964" w:firstLineChars="400"/>
        <w:jc w:val="left"/>
        <w:rPr>
          <w:rFonts w:ascii="宋体" w:hAnsi="宋体" w:cs="宋体"/>
          <w:b/>
          <w:bCs/>
          <w:color w:val="000000"/>
          <w:kern w:val="0"/>
          <w:sz w:val="24"/>
        </w:rPr>
      </w:pPr>
      <w:bookmarkStart w:id="10" w:name="_Hlk160811156"/>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10"/>
    <w:p>
      <w:pPr>
        <w:adjustRightInd w:val="0"/>
        <w:snapToGrid w:val="0"/>
        <w:spacing w:line="480" w:lineRule="auto"/>
        <w:ind w:right="23" w:rightChars="11" w:firstLine="480" w:firstLineChars="200"/>
        <w:rPr>
          <w:rFonts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spacing w:line="375" w:lineRule="atLeast"/>
        <w:ind w:firstLine="102" w:firstLineChars="49"/>
        <w:jc w:val="left"/>
        <w:rPr>
          <w:color w:val="000000"/>
        </w:rPr>
      </w:pPr>
    </w:p>
    <w:p>
      <w:pPr>
        <w:widowControl/>
        <w:spacing w:line="375" w:lineRule="atLeast"/>
        <w:ind w:firstLine="137" w:firstLineChars="49"/>
        <w:jc w:val="left"/>
        <w:rPr>
          <w:rFonts w:ascii="黑体" w:hAnsi="黑体" w:eastAsia="黑体" w:cs="黑体"/>
          <w:bCs/>
          <w:color w:val="000000"/>
          <w:kern w:val="0"/>
          <w:sz w:val="28"/>
          <w:szCs w:val="28"/>
        </w:rPr>
      </w:pPr>
    </w:p>
    <w:p>
      <w:pPr>
        <w:widowControl/>
        <w:spacing w:before="124" w:beforeLines="40" w:after="124" w:afterLines="40"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7"/>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7"/>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s="宋体"/>
          <w:color w:val="000000"/>
          <w:sz w:val="24"/>
        </w:rPr>
      </w:pPr>
      <w:r>
        <w:rPr>
          <w:rFonts w:hint="eastAsia" w:ascii="宋体" w:hAnsi="宋体"/>
          <w:color w:val="000000"/>
          <w:szCs w:val="21"/>
        </w:rPr>
        <w:t xml:space="preserve">                                                               金额单位：人民币元</w:t>
      </w:r>
    </w:p>
    <w:tbl>
      <w:tblPr>
        <w:tblStyle w:val="19"/>
        <w:tblW w:w="10132" w:type="dxa"/>
        <w:tblInd w:w="-287" w:type="dxa"/>
        <w:tblLayout w:type="fixed"/>
        <w:tblCellMar>
          <w:top w:w="0" w:type="dxa"/>
          <w:left w:w="108" w:type="dxa"/>
          <w:bottom w:w="0" w:type="dxa"/>
          <w:right w:w="108" w:type="dxa"/>
        </w:tblCellMar>
      </w:tblPr>
      <w:tblGrid>
        <w:gridCol w:w="809"/>
        <w:gridCol w:w="1533"/>
        <w:gridCol w:w="1167"/>
        <w:gridCol w:w="875"/>
        <w:gridCol w:w="1234"/>
        <w:gridCol w:w="1119"/>
        <w:gridCol w:w="668"/>
        <w:gridCol w:w="777"/>
        <w:gridCol w:w="914"/>
        <w:gridCol w:w="1036"/>
      </w:tblGrid>
      <w:tr>
        <w:tblPrEx>
          <w:tblCellMar>
            <w:top w:w="0" w:type="dxa"/>
            <w:left w:w="108" w:type="dxa"/>
            <w:bottom w:w="0" w:type="dxa"/>
            <w:right w:w="108" w:type="dxa"/>
          </w:tblCellMar>
        </w:tblPrEx>
        <w:trPr>
          <w:trHeight w:val="573"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物品名称</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规格型号</w:t>
            </w:r>
          </w:p>
        </w:tc>
        <w:tc>
          <w:tcPr>
            <w:tcW w:w="3228"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品牌</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单位</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w:t>
            </w:r>
          </w:p>
        </w:tc>
        <w:tc>
          <w:tcPr>
            <w:tcW w:w="91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1036" w:type="dxa"/>
            <w:tcBorders>
              <w:top w:val="single" w:color="auto" w:sz="6" w:space="0"/>
              <w:left w:val="single" w:color="auto" w:sz="6" w:space="0"/>
              <w:bottom w:val="single" w:color="auto" w:sz="6" w:space="0"/>
              <w:right w:val="single" w:color="auto" w:sz="6" w:space="0"/>
            </w:tcBorders>
            <w:vAlign w:val="center"/>
          </w:tcPr>
          <w:p>
            <w:pPr>
              <w:spacing w:line="360" w:lineRule="auto"/>
              <w:ind w:left="200" w:hanging="200" w:hangingChars="1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优惠率</w:t>
            </w: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仟力</w:t>
            </w:r>
          </w:p>
        </w:tc>
        <w:tc>
          <w:tcPr>
            <w:tcW w:w="123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111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梅花</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仟力</w:t>
            </w:r>
          </w:p>
        </w:tc>
        <w:tc>
          <w:tcPr>
            <w:tcW w:w="123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111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梅花</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弹子挂锁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仟力</w:t>
            </w:r>
          </w:p>
        </w:tc>
        <w:tc>
          <w:tcPr>
            <w:tcW w:w="123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111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梅花</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不锈钢手提门锁（钥匙8片）</w:t>
            </w:r>
            <w:r>
              <w:rPr>
                <w:rFonts w:hint="eastAsia" w:ascii="宋体" w:hAnsi="宋体" w:cs="宋体"/>
                <w:color w:val="000000"/>
                <w:kern w:val="0"/>
                <w:sz w:val="20"/>
                <w:szCs w:val="20"/>
              </w:rPr>
              <w:t>★</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大50（全铜锁芯）</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博纳</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不锈钢手提门锁（钥匙8片）</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小50（全铜锁芯）</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博纳</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282"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阳台门锁</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30-35</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博纳</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实木门锁体</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大50、小50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鑫佳美</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永绅</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安强</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全铜锁芯（钥匙8片）</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博纳</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全铜锁芯（钥匙8片）</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小50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博纳</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固特</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钥玛</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r>
              <w:rPr>
                <w:rFonts w:hint="eastAsia" w:ascii="宋体" w:hAnsi="宋体" w:cs="宋体"/>
                <w:color w:val="000000"/>
                <w:kern w:val="0"/>
                <w:sz w:val="20"/>
                <w:szCs w:val="20"/>
              </w:rPr>
              <w:t>★</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耐奢</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金美意</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德亚龙</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镁金</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金点原子</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全铜锁芯</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镁金</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安吉</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金点原子</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把</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厕所门合页</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120*35</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阳台门合页</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100*30</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533"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铁插销</w:t>
            </w:r>
          </w:p>
        </w:tc>
        <w:tc>
          <w:tcPr>
            <w:tcW w:w="1167" w:type="dxa"/>
            <w:tcBorders>
              <w:top w:val="single" w:color="auto" w:sz="6" w:space="0"/>
              <w:left w:val="single" w:color="auto" w:sz="6" w:space="0"/>
              <w:bottom w:val="nil"/>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100mm</w:t>
            </w:r>
          </w:p>
        </w:tc>
        <w:tc>
          <w:tcPr>
            <w:tcW w:w="875"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nil"/>
              <w:right w:val="single" w:color="auto" w:sz="6" w:space="0"/>
            </w:tcBorders>
            <w:vAlign w:val="center"/>
          </w:tcPr>
          <w:p>
            <w:pPr>
              <w:spacing w:line="38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nil"/>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nil"/>
              <w:right w:val="single" w:color="auto" w:sz="6" w:space="0"/>
            </w:tcBorders>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914" w:type="dxa"/>
            <w:tcBorders>
              <w:top w:val="single" w:color="auto" w:sz="6" w:space="0"/>
              <w:left w:val="single" w:color="auto" w:sz="6" w:space="0"/>
              <w:bottom w:val="nil"/>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铁插销</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铝合金窗扣(材质合金铝)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百兴</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满冠</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浦恒</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restart"/>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3*15mm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固万丰</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奥峰</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固万丰</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奥峰</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固万丰</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奥峰</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国标自攻螺丝</w:t>
            </w:r>
          </w:p>
        </w:tc>
        <w:tc>
          <w:tcPr>
            <w:tcW w:w="1167"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eastAsiaTheme="minorEastAsia" w:cstheme="minorBid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4*40mm</w:t>
            </w:r>
          </w:p>
        </w:tc>
        <w:tc>
          <w:tcPr>
            <w:tcW w:w="8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固万丰</w:t>
            </w: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奥峰</w:t>
            </w:r>
          </w:p>
        </w:tc>
        <w:tc>
          <w:tcPr>
            <w:tcW w:w="111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stheme="minorBidi"/>
                <w:color w:val="000000" w:themeColor="text1"/>
                <w:szCs w:val="21"/>
                <w14:textFill>
                  <w14:solidFill>
                    <w14:schemeClr w14:val="tx1"/>
                  </w14:solidFill>
                </w14:textFill>
              </w:rPr>
              <w:t>汇成丰</w:t>
            </w:r>
          </w:p>
        </w:tc>
        <w:tc>
          <w:tcPr>
            <w:tcW w:w="66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个</w:t>
            </w:r>
          </w:p>
        </w:tc>
        <w:tc>
          <w:tcPr>
            <w:tcW w:w="77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600</w:t>
            </w:r>
          </w:p>
        </w:tc>
        <w:tc>
          <w:tcPr>
            <w:tcW w:w="914"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Cs w:val="21"/>
                <w14:textFill>
                  <w14:solidFill>
                    <w14:schemeClr w14:val="tx1"/>
                  </w14:solidFill>
                </w14:textFill>
              </w:rPr>
            </w:pPr>
          </w:p>
        </w:tc>
        <w:tc>
          <w:tcPr>
            <w:tcW w:w="1036" w:type="dxa"/>
            <w:vMerge w:val="continue"/>
            <w:tcBorders>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88" w:hRule="atLeast"/>
        </w:trPr>
        <w:tc>
          <w:tcPr>
            <w:tcW w:w="80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报价汇总/元</w:t>
            </w:r>
          </w:p>
        </w:tc>
        <w:tc>
          <w:tcPr>
            <w:tcW w:w="6754" w:type="dxa"/>
            <w:gridSpan w:val="7"/>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03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p>
        </w:tc>
      </w:tr>
    </w:tbl>
    <w:p>
      <w:pPr>
        <w:spacing w:before="60" w:after="80" w:line="360" w:lineRule="auto"/>
        <w:ind w:left="479" w:leftChars="228"/>
        <w:jc w:val="left"/>
        <w:rPr>
          <w:lang w:bidi="ar"/>
        </w:rPr>
      </w:pP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widowControl/>
        <w:spacing w:line="380" w:lineRule="exact"/>
        <w:jc w:val="left"/>
        <w:rPr>
          <w:rFonts w:ascii="宋体" w:hAnsi="宋体" w:cs="宋体"/>
          <w:color w:val="000000"/>
          <w:sz w:val="24"/>
        </w:rPr>
      </w:pP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宋体" w:hAnsi="宋体" w:cs="宋体"/>
          <w:bCs/>
          <w:color w:val="000000"/>
          <w:sz w:val="24"/>
        </w:rPr>
      </w:pPr>
      <w:bookmarkStart w:id="11"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11"/>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Pr>
        <w:pStyle w:val="18"/>
        <w:ind w:firstLine="482"/>
        <w:rPr>
          <w:rFonts w:ascii="黑体" w:hAnsi="黑体" w:eastAsia="黑体" w:cs="黑体"/>
          <w:b/>
          <w:color w:val="000000"/>
          <w:sz w:val="24"/>
        </w:rPr>
      </w:pPr>
    </w:p>
    <w:p>
      <w:pPr>
        <w:rPr>
          <w:rFonts w:ascii="黑体" w:hAnsi="黑体" w:eastAsia="黑体" w:cs="黑体"/>
          <w:b/>
          <w:color w:val="000000"/>
          <w:sz w:val="24"/>
        </w:rPr>
      </w:pPr>
    </w:p>
    <w:p/>
    <w:p>
      <w:pPr>
        <w:adjustRightInd w:val="0"/>
        <w:snapToGrid w:val="0"/>
        <w:spacing w:before="156" w:beforeLines="50"/>
        <w:jc w:val="center"/>
        <w:rPr>
          <w:rFonts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before="156" w:beforeLines="50"/>
        <w:jc w:val="center"/>
        <w:rPr>
          <w:rFonts w:ascii="宋体" w:hAnsi="宋体"/>
          <w:color w:val="000000"/>
          <w:szCs w:val="21"/>
        </w:rPr>
      </w:pPr>
      <w:r>
        <w:rPr>
          <w:rFonts w:hint="eastAsia" w:ascii="微软雅黑" w:hAnsi="微软雅黑" w:eastAsia="微软雅黑" w:cs="微软雅黑"/>
          <w:b/>
          <w:color w:val="000000"/>
          <w:sz w:val="28"/>
          <w:szCs w:val="28"/>
        </w:rPr>
        <w:t xml:space="preserve">                                                                   </w:t>
      </w:r>
      <w:r>
        <w:rPr>
          <w:rFonts w:hint="eastAsia" w:ascii="宋体" w:hAnsi="宋体"/>
          <w:color w:val="000000"/>
          <w:szCs w:val="21"/>
        </w:rPr>
        <w:t xml:space="preserve">  金额单位：人民币元</w:t>
      </w:r>
    </w:p>
    <w:tbl>
      <w:tblPr>
        <w:tblStyle w:val="19"/>
        <w:tblW w:w="10307" w:type="dxa"/>
        <w:tblInd w:w="-366" w:type="dxa"/>
        <w:tblLayout w:type="fixed"/>
        <w:tblCellMar>
          <w:top w:w="0" w:type="dxa"/>
          <w:left w:w="0" w:type="dxa"/>
          <w:bottom w:w="0" w:type="dxa"/>
          <w:right w:w="0" w:type="dxa"/>
        </w:tblCellMar>
      </w:tblPr>
      <w:tblGrid>
        <w:gridCol w:w="497"/>
        <w:gridCol w:w="1732"/>
        <w:gridCol w:w="2004"/>
        <w:gridCol w:w="914"/>
        <w:gridCol w:w="818"/>
        <w:gridCol w:w="845"/>
        <w:gridCol w:w="723"/>
        <w:gridCol w:w="791"/>
        <w:gridCol w:w="995"/>
        <w:gridCol w:w="988"/>
      </w:tblGrid>
      <w:tr>
        <w:tblPrEx>
          <w:tblCellMar>
            <w:top w:w="0" w:type="dxa"/>
            <w:left w:w="0" w:type="dxa"/>
            <w:bottom w:w="0" w:type="dxa"/>
            <w:right w:w="0" w:type="dxa"/>
          </w:tblCellMar>
        </w:tblPrEx>
        <w:trPr>
          <w:trHeight w:val="4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物品名称</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规格型号</w:t>
            </w:r>
          </w:p>
        </w:tc>
        <w:tc>
          <w:tcPr>
            <w:tcW w:w="25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品牌</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数量</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优惠率</w:t>
            </w: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海棉拖把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pp/pvA/不锈钢38cm</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好媳妇</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妙雅</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米创</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220</w:t>
            </w:r>
          </w:p>
        </w:tc>
        <w:tc>
          <w:tcPr>
            <w:tcW w:w="99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棉布拖把</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纯棉布条手工订制</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自制</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抹布</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35x75纳米磨毛</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鸟王</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棉之情</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红日</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条</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编织袋</w:t>
            </w:r>
            <w:r>
              <w:rPr>
                <w:rFonts w:hint="eastAsia" w:ascii="宋体" w:hAnsi="宋体" w:cs="宋体"/>
                <w:color w:val="000000"/>
                <w:kern w:val="0"/>
                <w:sz w:val="20"/>
                <w:szCs w:val="20"/>
              </w:rPr>
              <w:t>★</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80㎝涂塑材料制防水帆布</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象肚</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炫亮</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优芬</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背心式塑料垃圾袋</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35*56*3丝，材质PE-HD</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吉祥如意</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金悦</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洁乐惠</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扫把簸箕套装</w:t>
            </w:r>
            <w:r>
              <w:rPr>
                <w:rFonts w:hint="eastAsia" w:ascii="宋体" w:hAnsi="宋体" w:cs="宋体"/>
                <w:color w:val="000000"/>
                <w:kern w:val="0"/>
                <w:sz w:val="20"/>
                <w:szCs w:val="20"/>
              </w:rPr>
              <w:t>★</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PP十PET十钢管</w:t>
            </w:r>
          </w:p>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常规</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得翔</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米创</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家杰美</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带轮大垃圾桶</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260L, 材质HDPE</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带轮大垃圾桶</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140L,50*56*78cm,HDPE</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脚踏式双桶垃圾桶</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20L*2,43*30*48，材质HD-PE</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小垃圾桶</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280×210×290，pp材质</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嘉乐惠</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品彩</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嘉宇</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小垃圾篓</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280×210×290，pp材质</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嘉乐惠</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家和</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嘉宇</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镂空特厚防滑脚垫</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15*1.2m PVC材质</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凯琳</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三G</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华亿</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米</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1010"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两分类不锈钢双桶垃圾箱</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100*36*98,304不锈钢材质</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章发</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景泰</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迈创 </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80</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82"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免漆生态板</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1.22*2.44、E。环保生态板</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大丰</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莫干山</w:t>
            </w:r>
          </w:p>
        </w:tc>
        <w:tc>
          <w:tcPr>
            <w:tcW w:w="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爱尚林韵</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95" w:type="dxa"/>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93" w:hRule="atLeast"/>
        </w:trPr>
        <w:tc>
          <w:tcPr>
            <w:tcW w:w="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优惠后报价汇总/元</w:t>
            </w:r>
          </w:p>
        </w:tc>
        <w:tc>
          <w:tcPr>
            <w:tcW w:w="709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Cs w:val="21"/>
                <w14:textFill>
                  <w14:solidFill>
                    <w14:schemeClr w14:val="tx1"/>
                  </w14:solidFill>
                </w14:textFill>
              </w:rPr>
            </w:pPr>
          </w:p>
        </w:tc>
      </w:tr>
    </w:tbl>
    <w:p>
      <w:pPr>
        <w:spacing w:before="60" w:after="80"/>
        <w:ind w:left="479" w:leftChars="228"/>
        <w:jc w:val="left"/>
        <w:rPr>
          <w:lang w:bidi="ar"/>
        </w:rPr>
      </w:pP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u w:val="single"/>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黑体" w:hAnsi="黑体" w:eastAsia="黑体" w:cs="黑体"/>
          <w:b/>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ind w:firstLine="420" w:firstLineChars="200"/>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8"/>
        <w:tabs>
          <w:tab w:val="left" w:pos="3420"/>
        </w:tabs>
        <w:rPr>
          <w:rFonts w:ascii="宋体" w:hAnsi="宋体"/>
          <w:bCs/>
          <w:szCs w:val="21"/>
        </w:rPr>
      </w:pPr>
    </w:p>
    <w:p>
      <w:pPr>
        <w:pStyle w:val="6"/>
        <w:rPr>
          <w:rFonts w:ascii="宋体" w:hAnsi="宋体"/>
          <w:bCs/>
          <w:color w:val="000000"/>
          <w:szCs w:val="21"/>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6"/>
        <w:rPr>
          <w:rFonts w:hAnsi="黑体" w:cs="黑体"/>
          <w:b/>
          <w:color w:val="000000"/>
          <w:sz w:val="24"/>
        </w:rPr>
      </w:pPr>
    </w:p>
    <w:p>
      <w:pPr>
        <w:pStyle w:val="6"/>
        <w:rPr>
          <w:rFonts w:hAnsi="黑体" w:cs="黑体"/>
          <w:b/>
          <w:color w:val="000000"/>
          <w:sz w:val="24"/>
        </w:rPr>
      </w:pPr>
    </w:p>
    <w:p>
      <w:pPr>
        <w:pStyle w:val="6"/>
        <w:rPr>
          <w:rFonts w:hAnsi="黑体" w:cs="黑体"/>
          <w:b/>
          <w:color w:val="000000"/>
          <w:sz w:val="24"/>
        </w:rPr>
      </w:pPr>
    </w:p>
    <w:p/>
    <w:p>
      <w:pPr>
        <w:spacing w:line="500" w:lineRule="exact"/>
        <w:ind w:firstLine="482" w:firstLineChars="200"/>
        <w:rPr>
          <w:rFonts w:ascii="宋体" w:hAnsi="宋体" w:cs="宋体"/>
          <w:sz w:val="24"/>
        </w:rPr>
      </w:pPr>
      <w:r>
        <w:rPr>
          <w:rFonts w:hint="eastAsia" w:ascii="宋体" w:hAnsi="宋体" w:cs="宋体"/>
          <w:b/>
          <w:sz w:val="24"/>
        </w:rPr>
        <w:t>九、比选投标须知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十、投标纪律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2" w:name="OLE_LINK1"/>
      <w:r>
        <w:rPr>
          <w:rFonts w:hint="eastAsia" w:ascii="宋体" w:hAnsi="宋体" w:cs="宋体"/>
          <w:sz w:val="24"/>
        </w:rPr>
        <w:t>盖投标单位公章</w:t>
      </w:r>
      <w:bookmarkEnd w:id="12"/>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十一、比选投标文件的编制要求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6"/>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3" w:name="OLE_LINK3"/>
      <w:r>
        <w:rPr>
          <w:rFonts w:hint="eastAsia" w:ascii="宋体" w:hAnsi="宋体" w:cs="宋体"/>
          <w:sz w:val="24"/>
        </w:rPr>
        <w:t>投标单位</w:t>
      </w:r>
      <w:bookmarkEnd w:id="13"/>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十二、比选投标文件的份数与签署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w:t>
      </w:r>
      <w:r>
        <w:rPr>
          <w:rFonts w:hint="eastAsia" w:ascii="宋体" w:hAnsi="宋体" w:cs="宋体"/>
          <w:sz w:val="24"/>
          <w:lang w:val="en-US" w:eastAsia="zh-CN"/>
        </w:rPr>
        <w:t>二</w:t>
      </w:r>
      <w:r>
        <w:rPr>
          <w:rFonts w:hint="eastAsia" w:ascii="宋体" w:hAnsi="宋体" w:cs="宋体"/>
          <w:sz w:val="24"/>
        </w:rPr>
        <w:t>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十三、投标文件的密封与递交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w:t>
      </w:r>
      <w:r>
        <w:rPr>
          <w:rFonts w:hint="eastAsia" w:ascii="宋体" w:hAnsi="宋体" w:cs="宋体"/>
          <w:sz w:val="24"/>
        </w:rPr>
        <w:t>10会议室，由工作人员登记。投标时间截止后，逾期送达的投标书将被招标单位拒收，其投标书为无效投标书。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十四、评标办法和选取确认方式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8"/>
        <w:spacing w:after="0"/>
        <w:jc w:val="center"/>
        <w:rPr>
          <w:rFonts w:ascii="仿宋" w:hAnsi="仿宋" w:eastAsia="仿宋" w:cs="仿宋"/>
          <w:color w:val="FF0000"/>
          <w:sz w:val="28"/>
          <w:szCs w:val="28"/>
        </w:rPr>
      </w:pPr>
      <w:r>
        <w:rPr>
          <w:rFonts w:hint="eastAsia" w:ascii="仿宋" w:hAnsi="仿宋" w:eastAsia="仿宋" w:cs="仿宋"/>
          <w:b/>
          <w:bCs/>
          <w:sz w:val="28"/>
          <w:szCs w:val="28"/>
        </w:rPr>
        <w:t>比选</w:t>
      </w:r>
      <w:bookmarkStart w:id="14" w:name="_Hlk160818547"/>
      <w:r>
        <w:rPr>
          <w:rFonts w:hint="eastAsia" w:ascii="仿宋" w:hAnsi="仿宋" w:eastAsia="仿宋" w:cs="仿宋"/>
          <w:b/>
          <w:bCs/>
          <w:sz w:val="28"/>
          <w:szCs w:val="28"/>
        </w:rPr>
        <w:t>评分标准</w:t>
      </w:r>
      <w:bookmarkEnd w:id="14"/>
    </w:p>
    <w:tbl>
      <w:tblPr>
        <w:tblStyle w:val="19"/>
        <w:tblW w:w="10089"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91" w:type="dxa"/>
            <w:vAlign w:val="center"/>
          </w:tcPr>
          <w:p>
            <w:pPr>
              <w:spacing w:line="400" w:lineRule="exact"/>
              <w:jc w:val="center"/>
              <w:rPr>
                <w:rFonts w:hAnsi="仿宋_GB2312" w:cs="仿宋_GB2312"/>
                <w:b/>
                <w:bCs/>
                <w:sz w:val="24"/>
              </w:rPr>
            </w:pPr>
            <w:r>
              <w:rPr>
                <w:rFonts w:hint="eastAsia" w:hAnsi="仿宋_GB2312" w:cs="仿宋_GB2312"/>
                <w:b/>
                <w:bCs/>
                <w:sz w:val="24"/>
              </w:rPr>
              <w:t>评分因素</w:t>
            </w:r>
          </w:p>
        </w:tc>
        <w:tc>
          <w:tcPr>
            <w:tcW w:w="8398" w:type="dxa"/>
            <w:vAlign w:val="center"/>
          </w:tcPr>
          <w:p>
            <w:pPr>
              <w:spacing w:line="400" w:lineRule="exact"/>
              <w:jc w:val="center"/>
              <w:rPr>
                <w:rFonts w:hAnsi="仿宋_GB2312" w:cs="仿宋_GB2312"/>
                <w:b/>
                <w:bCs/>
                <w:sz w:val="24"/>
              </w:rPr>
            </w:pPr>
            <w:r>
              <w:rPr>
                <w:rFonts w:hint="eastAsia" w:hAnsi="仿宋_GB2312" w:cs="仿宋_GB2312"/>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投标报价</w:t>
            </w:r>
          </w:p>
          <w:p>
            <w:pPr>
              <w:spacing w:line="400" w:lineRule="exact"/>
              <w:jc w:val="center"/>
              <w:rPr>
                <w:rFonts w:hAnsi="仿宋_GB2312" w:cs="仿宋_GB2312"/>
                <w:sz w:val="24"/>
              </w:rPr>
            </w:pPr>
            <w:r>
              <w:rPr>
                <w:rFonts w:hint="eastAsia" w:hAnsi="仿宋_GB2312" w:cs="仿宋_GB2312"/>
                <w:sz w:val="24"/>
              </w:rPr>
              <w:t>（30分）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以经评审满足比选文件要求且投标价格（</w:t>
            </w:r>
            <w:r>
              <w:rPr>
                <w:rFonts w:hint="eastAsia" w:hAnsi="仿宋_GB2312" w:cs="仿宋_GB2312"/>
                <w:sz w:val="24"/>
                <w:highlight w:val="green"/>
              </w:rPr>
              <w:t>两个表报价总价之和</w:t>
            </w:r>
            <w:r>
              <w:rPr>
                <w:rFonts w:hint="eastAsia" w:hAnsi="仿宋_GB2312" w:cs="仿宋_GB2312"/>
                <w:sz w:val="24"/>
              </w:rPr>
              <w:t xml:space="preserve">）最低的投标报价（折扣率最低）为评标基准价，其价格得分计30分。其他供应商的价格得分统一按公式计算： </w:t>
            </w:r>
            <w:r>
              <w:rPr>
                <w:rFonts w:hAnsi="仿宋_GB2312" w:cs="仿宋_GB2312"/>
                <w:sz w:val="24"/>
              </w:rPr>
              <w:t xml:space="preserve"> </w:t>
            </w:r>
            <w:r>
              <w:rPr>
                <w:rFonts w:hint="eastAsia" w:hAnsi="仿宋_GB2312" w:cs="仿宋_GB2312"/>
                <w:sz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pStyle w:val="2"/>
              <w:rPr>
                <w:rFonts w:hAnsi="仿宋_GB2312" w:cs="仿宋_GB2312"/>
                <w:sz w:val="24"/>
              </w:rPr>
            </w:pPr>
            <w:r>
              <w:rPr>
                <w:rFonts w:hint="eastAsia" w:hAnsi="仿宋_GB2312" w:cs="仿宋_GB2312"/>
                <w:sz w:val="24"/>
              </w:rPr>
              <w:t>产品综合选型（20分）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根据投标人提供的所投主要产品（至少包含所有样品）的彩页、产品检测报告或产品说明书，以及货物来源渠道等相关证明材料对所投产品的技术先进性、综合性能、安全性能等进行综合评分：</w:t>
            </w:r>
          </w:p>
          <w:p>
            <w:pPr>
              <w:spacing w:line="400" w:lineRule="exact"/>
              <w:jc w:val="left"/>
              <w:rPr>
                <w:rFonts w:hAnsi="仿宋_GB2312" w:cs="仿宋_GB2312"/>
                <w:sz w:val="24"/>
              </w:rPr>
            </w:pPr>
            <w:r>
              <w:rPr>
                <w:rFonts w:hint="eastAsia" w:hAnsi="仿宋_GB2312" w:cs="仿宋_GB2312"/>
                <w:sz w:val="24"/>
              </w:rPr>
              <w:t>1）由评标委员会根据所投主要产品彩页、检测报告、产品说明书等相关证明材料对所投产品的技术先进性、综合性能、安全性能横向对比计分：</w:t>
            </w:r>
          </w:p>
          <w:p>
            <w:pPr>
              <w:spacing w:line="400" w:lineRule="exact"/>
              <w:jc w:val="left"/>
              <w:rPr>
                <w:rFonts w:hAnsi="仿宋_GB2312" w:cs="仿宋_GB2312"/>
                <w:sz w:val="24"/>
              </w:rPr>
            </w:pPr>
            <w:r>
              <w:rPr>
                <w:rFonts w:hint="eastAsia" w:hAnsi="仿宋_GB2312" w:cs="仿宋_GB2312"/>
                <w:sz w:val="24"/>
              </w:rPr>
              <w:t xml:space="preserve">1）产品技术先进、综合性能优、质量最优，完全满足用户需求的，进货渠道正规、畅通且货源稳定的，计20 分； </w:t>
            </w:r>
          </w:p>
          <w:p>
            <w:pPr>
              <w:spacing w:line="400" w:lineRule="exact"/>
              <w:jc w:val="left"/>
              <w:rPr>
                <w:rFonts w:hAnsi="仿宋_GB2312" w:cs="仿宋_GB2312"/>
                <w:sz w:val="24"/>
              </w:rPr>
            </w:pPr>
            <w:r>
              <w:rPr>
                <w:rFonts w:hint="eastAsia" w:hAnsi="仿宋_GB2312" w:cs="仿宋_GB2312"/>
                <w:sz w:val="24"/>
              </w:rPr>
              <w:t>2）产品技术较先进、综合性能较好、质量较好，基本满足用户需求的，进货渠道正规、畅通且货源较稳定的，计 15 分；</w:t>
            </w:r>
          </w:p>
          <w:p>
            <w:pPr>
              <w:spacing w:line="400" w:lineRule="exact"/>
              <w:jc w:val="left"/>
              <w:rPr>
                <w:rFonts w:hAnsi="仿宋_GB2312" w:cs="仿宋_GB2312"/>
                <w:sz w:val="24"/>
              </w:rPr>
            </w:pPr>
            <w:r>
              <w:rPr>
                <w:rFonts w:hint="eastAsia" w:hAnsi="仿宋_GB2312" w:cs="仿宋_GB2312"/>
                <w:sz w:val="24"/>
              </w:rPr>
              <w:t>3）产品技术综合性能一般、质量一般，大部分能满足用户需求的，进货渠道正规、货源稳定性一般的，计 10 分；</w:t>
            </w:r>
          </w:p>
          <w:p>
            <w:pPr>
              <w:spacing w:line="400" w:lineRule="exact"/>
              <w:jc w:val="left"/>
              <w:rPr>
                <w:rFonts w:hAnsi="仿宋_GB2312" w:cs="仿宋_GB2312"/>
                <w:sz w:val="24"/>
              </w:rPr>
            </w:pPr>
            <w:r>
              <w:rPr>
                <w:rFonts w:hint="eastAsia" w:hAnsi="仿宋_GB2312" w:cs="仿宋_GB2312"/>
                <w:sz w:val="24"/>
              </w:rPr>
              <w:t>4）此项未提供的计0分。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pStyle w:val="2"/>
              <w:rPr>
                <w:rFonts w:hAnsi="仿宋_GB2312" w:cs="仿宋_GB2312"/>
                <w:sz w:val="24"/>
              </w:rPr>
            </w:pPr>
            <w:r>
              <w:rPr>
                <w:rFonts w:hint="eastAsia" w:hAnsi="仿宋_GB2312" w:cs="仿宋_GB2312"/>
                <w:sz w:val="24"/>
              </w:rPr>
              <w:t>样品评价（15分）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评标委员会综合考虑各投标人样品的完整性、外观、材质、制作工艺水平、安全性、牢固性、设计合理及实用性、操作性，并结合现场情况，进行综合评分：</w:t>
            </w:r>
          </w:p>
          <w:p>
            <w:pPr>
              <w:spacing w:line="400" w:lineRule="exact"/>
              <w:jc w:val="left"/>
              <w:rPr>
                <w:rFonts w:hAnsi="仿宋_GB2312" w:cs="仿宋_GB2312"/>
                <w:sz w:val="24"/>
              </w:rPr>
            </w:pPr>
            <w:r>
              <w:rPr>
                <w:rFonts w:hint="eastAsia" w:hAnsi="仿宋_GB2312" w:cs="仿宋_GB2312"/>
                <w:sz w:val="24"/>
              </w:rPr>
              <w:t>1）样品组成完整，现场观测到的参数完全满足招标文件要求，制作工艺优，材质好、外观符合要求、安全性好，设计先进、操作及实用性强，现场测试无任何问题的，计 15 分；</w:t>
            </w:r>
          </w:p>
          <w:p>
            <w:pPr>
              <w:spacing w:line="400" w:lineRule="exact"/>
              <w:jc w:val="left"/>
              <w:rPr>
                <w:rFonts w:hAnsi="仿宋_GB2312" w:cs="仿宋_GB2312"/>
                <w:sz w:val="24"/>
              </w:rPr>
            </w:pPr>
            <w:r>
              <w:rPr>
                <w:rFonts w:hint="eastAsia" w:hAnsi="仿宋_GB2312" w:cs="仿宋_GB2312"/>
                <w:sz w:val="24"/>
              </w:rPr>
              <w:t>2）样品组成完整，现场观测到的技术参数满足招标文件要求，制作工艺良好，材质较好、外观符合要求、安全性较好，设计较好、操作及实用性较强，现场测试较好的，计 10分；</w:t>
            </w:r>
          </w:p>
          <w:p>
            <w:pPr>
              <w:spacing w:line="400" w:lineRule="exact"/>
              <w:jc w:val="left"/>
              <w:rPr>
                <w:rFonts w:hAnsi="仿宋_GB2312" w:cs="仿宋_GB2312"/>
                <w:sz w:val="24"/>
              </w:rPr>
            </w:pPr>
            <w:r>
              <w:rPr>
                <w:rFonts w:hint="eastAsia" w:hAnsi="仿宋_GB2312" w:cs="仿宋_GB2312"/>
                <w:sz w:val="24"/>
              </w:rPr>
              <w:t>3）样品组成基本完整，现场观测到的技术参数基本符合招标文件要求，制作工艺一般，外观符合要求，安全性一般，设计较好、操作及实用性一般的，现场测试效果一般的，计 5分；</w:t>
            </w:r>
          </w:p>
          <w:p>
            <w:pPr>
              <w:spacing w:line="400" w:lineRule="exact"/>
              <w:jc w:val="left"/>
              <w:rPr>
                <w:rFonts w:hAnsi="仿宋_GB2312" w:cs="仿宋_GB2312"/>
                <w:sz w:val="24"/>
              </w:rPr>
            </w:pPr>
            <w:r>
              <w:rPr>
                <w:rFonts w:hint="eastAsia" w:hAnsi="仿宋_GB2312" w:cs="仿宋_GB2312"/>
                <w:sz w:val="24"/>
              </w:rPr>
              <w:t>计分说明：未提交样品或提交的样品非招标采购的产品，样品组成有重大缺陷或现场使用发生故障、无法使用的，所交样品与投标文件不符的，均计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项目实施方案（10分）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根据投标人提供的项目实施方案（包括但不限于服务实施措施、配送流程、质量保障措施、应急服务预案等）进行综合评分：</w:t>
            </w:r>
          </w:p>
          <w:p>
            <w:pPr>
              <w:spacing w:line="400" w:lineRule="exact"/>
              <w:jc w:val="left"/>
              <w:rPr>
                <w:rFonts w:hAnsi="仿宋_GB2312" w:cs="仿宋_GB2312"/>
                <w:sz w:val="24"/>
              </w:rPr>
            </w:pPr>
            <w:r>
              <w:rPr>
                <w:rFonts w:hint="eastAsia" w:hAnsi="仿宋_GB2312" w:cs="仿宋_GB2312"/>
                <w:sz w:val="24"/>
              </w:rPr>
              <w:t>1）服务实施措施详细、合理，配送流程安排周密、质量保障措施科学，应急服务预案可操作性强的计10分；</w:t>
            </w:r>
          </w:p>
          <w:p>
            <w:pPr>
              <w:spacing w:line="400" w:lineRule="exact"/>
              <w:jc w:val="left"/>
              <w:rPr>
                <w:rFonts w:hAnsi="仿宋_GB2312" w:cs="仿宋_GB2312"/>
                <w:sz w:val="24"/>
              </w:rPr>
            </w:pPr>
            <w:r>
              <w:rPr>
                <w:rFonts w:hint="eastAsia" w:hAnsi="仿宋_GB2312" w:cs="仿宋_GB2312"/>
                <w:sz w:val="24"/>
              </w:rPr>
              <w:t>2）服务实施措施较详细、合理，配送流程较周密、质量保障措施较科学，应急服务预案可操作性较强的计7分；</w:t>
            </w:r>
          </w:p>
          <w:p>
            <w:pPr>
              <w:spacing w:line="400" w:lineRule="exact"/>
              <w:jc w:val="left"/>
              <w:rPr>
                <w:rFonts w:hAnsi="仿宋_GB2312" w:cs="仿宋_GB2312"/>
                <w:sz w:val="24"/>
              </w:rPr>
            </w:pPr>
            <w:r>
              <w:rPr>
                <w:rFonts w:hint="eastAsia" w:hAnsi="仿宋_GB2312" w:cs="仿宋_GB2312"/>
                <w:sz w:val="24"/>
              </w:rPr>
              <w:t>3）服务实施措施一般、配送流程一般、应急服务预案可操作性较一般的计4分；</w:t>
            </w:r>
          </w:p>
          <w:p>
            <w:pPr>
              <w:spacing w:line="400" w:lineRule="exact"/>
              <w:jc w:val="left"/>
              <w:rPr>
                <w:rFonts w:hAnsi="仿宋_GB2312" w:cs="仿宋_GB2312"/>
                <w:sz w:val="24"/>
              </w:rPr>
            </w:pPr>
            <w:r>
              <w:rPr>
                <w:rFonts w:hint="eastAsia" w:hAnsi="仿宋_GB2312" w:cs="仿宋_GB2312"/>
                <w:sz w:val="24"/>
              </w:rPr>
              <w:t>4）此项未提供的计0分。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配送车辆及专职人员</w:t>
            </w:r>
          </w:p>
          <w:p>
            <w:pPr>
              <w:spacing w:line="400" w:lineRule="exact"/>
              <w:jc w:val="center"/>
              <w:rPr>
                <w:rFonts w:hAnsi="仿宋_GB2312" w:cs="仿宋_GB2312"/>
                <w:sz w:val="24"/>
              </w:rPr>
            </w:pPr>
            <w:r>
              <w:rPr>
                <w:rFonts w:hint="eastAsia" w:hAnsi="仿宋_GB2312" w:cs="仿宋_GB2312"/>
                <w:sz w:val="24"/>
              </w:rPr>
              <w:t>（5分）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1）投标人具备自有且专门的配送物资车辆（数量至少1台），配置专职送货人员1名的计5分。</w:t>
            </w:r>
          </w:p>
          <w:p>
            <w:pPr>
              <w:spacing w:line="400" w:lineRule="exact"/>
              <w:jc w:val="left"/>
              <w:rPr>
                <w:rFonts w:hAnsi="仿宋_GB2312" w:cs="仿宋_GB2312"/>
                <w:sz w:val="24"/>
              </w:rPr>
            </w:pPr>
            <w:r>
              <w:rPr>
                <w:rFonts w:hint="eastAsia" w:hAnsi="仿宋_GB2312" w:cs="仿宋_GB2312"/>
                <w:sz w:val="24"/>
              </w:rPr>
              <w:t>2）投标人不具备自有配送车辆，但有租赁的车辆（数量至少1台）并配置专职送货人员1名的计2.5分。</w:t>
            </w:r>
          </w:p>
          <w:p>
            <w:pPr>
              <w:spacing w:line="400" w:lineRule="exact"/>
              <w:jc w:val="left"/>
              <w:rPr>
                <w:rFonts w:hAnsi="仿宋_GB2312" w:cs="仿宋_GB2312"/>
                <w:sz w:val="24"/>
              </w:rPr>
            </w:pPr>
            <w:r>
              <w:rPr>
                <w:rFonts w:hint="eastAsia" w:hAnsi="仿宋_GB2312" w:cs="仿宋_GB2312"/>
                <w:sz w:val="24"/>
              </w:rPr>
              <w:t>计分说明：本项最高计5分，上述配送车辆如为供应商自有的需提供车辆购置证明资料和送货人员的相关信息（姓名、联系电话）；车辆如为供应商租赁的，须提供车辆租赁协议和送货人员的相关信息（姓名、联系电话）；否则此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实施经验(成功案例)（10）</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投标人自2021年5月以来具有同类项目或类似项目实施经验，每提供一个项目成功案例的计2分，本项最高计10分。</w:t>
            </w:r>
          </w:p>
          <w:p>
            <w:pPr>
              <w:spacing w:line="400" w:lineRule="exact"/>
              <w:jc w:val="left"/>
              <w:rPr>
                <w:rFonts w:hAnsi="仿宋_GB2312" w:cs="仿宋_GB2312"/>
                <w:sz w:val="24"/>
              </w:rPr>
            </w:pPr>
            <w:r>
              <w:rPr>
                <w:rFonts w:hint="eastAsia" w:hAnsi="仿宋_GB2312" w:cs="仿宋_GB2312"/>
                <w:sz w:val="24"/>
              </w:rPr>
              <w:t>计分说明：供应商须在投标文件中提供合同文本复印件,否则应计分项计0分，相同采购单位只按一个计算。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体系认证</w:t>
            </w:r>
          </w:p>
          <w:p>
            <w:pPr>
              <w:spacing w:line="400" w:lineRule="exact"/>
              <w:jc w:val="center"/>
              <w:rPr>
                <w:rFonts w:hAnsi="仿宋_GB2312" w:cs="仿宋_GB2312"/>
                <w:sz w:val="24"/>
              </w:rPr>
            </w:pPr>
            <w:r>
              <w:rPr>
                <w:rFonts w:hint="eastAsia" w:hAnsi="仿宋_GB2312" w:cs="仿宋_GB2312"/>
                <w:sz w:val="24"/>
              </w:rPr>
              <w:t>（3分）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投标人具有并提供质量管理体系认证证书、环境管理体系认证证书、职业健康管理体系认证证书的计1分/项，最高计3分。</w:t>
            </w:r>
          </w:p>
          <w:p>
            <w:pPr>
              <w:spacing w:line="400" w:lineRule="exact"/>
              <w:jc w:val="left"/>
              <w:rPr>
                <w:rFonts w:hAnsi="仿宋_GB2312" w:cs="仿宋_GB2312"/>
                <w:sz w:val="24"/>
              </w:rPr>
            </w:pPr>
            <w:r>
              <w:rPr>
                <w:rFonts w:hint="eastAsia" w:hAnsi="仿宋_GB2312" w:cs="仿宋_GB2312"/>
                <w:sz w:val="24"/>
              </w:rPr>
              <w:t>计分说明：投标文件中须提供认证证书的复印件并加盖公章，否则应计分项计0分。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售后维护服务（7分）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根据投标人提供的售后维护服务方案（包括但不限于：售后服务承诺、售后服务体系、售后服务团队、响应时间、应急维修措施等）进行综合评分：</w:t>
            </w:r>
          </w:p>
          <w:p>
            <w:pPr>
              <w:spacing w:line="400" w:lineRule="exact"/>
              <w:jc w:val="left"/>
              <w:rPr>
                <w:rFonts w:hAnsi="仿宋_GB2312" w:cs="仿宋_GB2312"/>
                <w:sz w:val="24"/>
              </w:rPr>
            </w:pPr>
            <w:r>
              <w:rPr>
                <w:rFonts w:hint="eastAsia" w:hAnsi="仿宋_GB2312" w:cs="仿宋_GB2312"/>
                <w:sz w:val="24"/>
              </w:rPr>
              <w:t>1）售后维护服务方案详细、科学合理、操作性及针对性强的计7分；</w:t>
            </w:r>
          </w:p>
          <w:p>
            <w:pPr>
              <w:spacing w:line="400" w:lineRule="exact"/>
              <w:jc w:val="left"/>
              <w:rPr>
                <w:rFonts w:hAnsi="仿宋_GB2312" w:cs="仿宋_GB2312"/>
                <w:sz w:val="24"/>
              </w:rPr>
            </w:pPr>
            <w:r>
              <w:rPr>
                <w:rFonts w:hint="eastAsia" w:hAnsi="仿宋_GB2312" w:cs="仿宋_GB2312"/>
                <w:sz w:val="24"/>
              </w:rPr>
              <w:t>2）售后维护服务方案较详细、较合理、操作性及针对性较强的计4分；</w:t>
            </w:r>
          </w:p>
          <w:p>
            <w:pPr>
              <w:spacing w:line="400" w:lineRule="exact"/>
              <w:jc w:val="left"/>
              <w:rPr>
                <w:rFonts w:hAnsi="仿宋_GB2312" w:cs="仿宋_GB2312"/>
                <w:sz w:val="24"/>
              </w:rPr>
            </w:pPr>
            <w:r>
              <w:rPr>
                <w:rFonts w:hint="eastAsia" w:hAnsi="仿宋_GB2312" w:cs="仿宋_GB2312"/>
                <w:sz w:val="24"/>
              </w:rPr>
              <w:t>3）售后维护服务方案简单、欠合理、操作性及针对性一般的计1分；</w:t>
            </w:r>
          </w:p>
          <w:p>
            <w:pPr>
              <w:spacing w:line="400" w:lineRule="exact"/>
              <w:jc w:val="left"/>
              <w:rPr>
                <w:rFonts w:hAnsi="仿宋_GB2312" w:cs="仿宋_GB2312"/>
                <w:sz w:val="24"/>
              </w:rPr>
            </w:pPr>
            <w:r>
              <w:rPr>
                <w:rFonts w:hint="eastAsia" w:hAnsi="仿宋_GB2312" w:cs="仿宋_GB2312"/>
                <w:sz w:val="24"/>
              </w:rPr>
              <w:t>4）此项未提供的计0分。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总分</w:t>
            </w:r>
          </w:p>
        </w:tc>
        <w:tc>
          <w:tcPr>
            <w:tcW w:w="8398" w:type="dxa"/>
            <w:vAlign w:val="center"/>
          </w:tcPr>
          <w:p>
            <w:pPr>
              <w:spacing w:line="400" w:lineRule="exact"/>
              <w:jc w:val="center"/>
              <w:rPr>
                <w:rFonts w:hAnsi="仿宋_GB2312" w:cs="仿宋_GB2312"/>
                <w:sz w:val="24"/>
              </w:rPr>
            </w:pPr>
            <w:r>
              <w:rPr>
                <w:rFonts w:hint="eastAsia" w:hAnsi="仿宋_GB2312" w:cs="仿宋_GB2312"/>
                <w:sz w:val="24"/>
              </w:rPr>
              <w:t>100分</w:t>
            </w:r>
          </w:p>
        </w:tc>
      </w:tr>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p/>
    <w:sectPr>
      <w:headerReference r:id="rId3" w:type="default"/>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D05D"/>
    <w:multiLevelType w:val="singleLevel"/>
    <w:tmpl w:val="C497D05D"/>
    <w:lvl w:ilvl="0" w:tentative="0">
      <w:start w:val="1"/>
      <w:numFmt w:val="chineseCounting"/>
      <w:suff w:val="nothing"/>
      <w:lvlText w:val="（%1）"/>
      <w:lvlJc w:val="left"/>
      <w:rPr>
        <w:rFonts w:hint="eastAsia"/>
      </w:rPr>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86DF8C2"/>
    <w:multiLevelType w:val="singleLevel"/>
    <w:tmpl w:val="786DF8C2"/>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33FB9"/>
    <w:rsid w:val="0004220C"/>
    <w:rsid w:val="000B4AC9"/>
    <w:rsid w:val="000C0006"/>
    <w:rsid w:val="000C2AAD"/>
    <w:rsid w:val="000C4FCD"/>
    <w:rsid w:val="000C7B07"/>
    <w:rsid w:val="000D17C4"/>
    <w:rsid w:val="000D2C1F"/>
    <w:rsid w:val="000E208E"/>
    <w:rsid w:val="000E22D8"/>
    <w:rsid w:val="000E2FCA"/>
    <w:rsid w:val="000E3EB7"/>
    <w:rsid w:val="000E6B0E"/>
    <w:rsid w:val="000F59A8"/>
    <w:rsid w:val="00103E0F"/>
    <w:rsid w:val="001041D4"/>
    <w:rsid w:val="001056D9"/>
    <w:rsid w:val="001111B1"/>
    <w:rsid w:val="001112DE"/>
    <w:rsid w:val="00113DE3"/>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26141"/>
    <w:rsid w:val="0023261F"/>
    <w:rsid w:val="00255D4A"/>
    <w:rsid w:val="00265E3A"/>
    <w:rsid w:val="00266420"/>
    <w:rsid w:val="002802E5"/>
    <w:rsid w:val="00282FA9"/>
    <w:rsid w:val="002837F0"/>
    <w:rsid w:val="00285835"/>
    <w:rsid w:val="00291B18"/>
    <w:rsid w:val="002A4AE2"/>
    <w:rsid w:val="002B187F"/>
    <w:rsid w:val="002B2B07"/>
    <w:rsid w:val="002C024E"/>
    <w:rsid w:val="002C2671"/>
    <w:rsid w:val="002E247B"/>
    <w:rsid w:val="002F6DB9"/>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070A8"/>
    <w:rsid w:val="00414168"/>
    <w:rsid w:val="004225D5"/>
    <w:rsid w:val="004244CC"/>
    <w:rsid w:val="00434A15"/>
    <w:rsid w:val="00444647"/>
    <w:rsid w:val="004470A7"/>
    <w:rsid w:val="004473FA"/>
    <w:rsid w:val="00460139"/>
    <w:rsid w:val="004628AB"/>
    <w:rsid w:val="00463B93"/>
    <w:rsid w:val="004719E3"/>
    <w:rsid w:val="00474429"/>
    <w:rsid w:val="004841A8"/>
    <w:rsid w:val="00494B92"/>
    <w:rsid w:val="004A0F69"/>
    <w:rsid w:val="004A2598"/>
    <w:rsid w:val="004A47B4"/>
    <w:rsid w:val="004A4A1C"/>
    <w:rsid w:val="004B69EE"/>
    <w:rsid w:val="004C683A"/>
    <w:rsid w:val="004D1E1D"/>
    <w:rsid w:val="004D35B2"/>
    <w:rsid w:val="004D683E"/>
    <w:rsid w:val="004E1784"/>
    <w:rsid w:val="004E1F26"/>
    <w:rsid w:val="004E7358"/>
    <w:rsid w:val="004F3BA6"/>
    <w:rsid w:val="00500610"/>
    <w:rsid w:val="0050263D"/>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07C"/>
    <w:rsid w:val="00616524"/>
    <w:rsid w:val="00630078"/>
    <w:rsid w:val="00630D30"/>
    <w:rsid w:val="00632ED3"/>
    <w:rsid w:val="00634053"/>
    <w:rsid w:val="00636D2E"/>
    <w:rsid w:val="006377EA"/>
    <w:rsid w:val="0065340C"/>
    <w:rsid w:val="00655E0C"/>
    <w:rsid w:val="0067546C"/>
    <w:rsid w:val="0068371B"/>
    <w:rsid w:val="006A056B"/>
    <w:rsid w:val="006B274D"/>
    <w:rsid w:val="006B5265"/>
    <w:rsid w:val="006C0664"/>
    <w:rsid w:val="006E407C"/>
    <w:rsid w:val="006F43C4"/>
    <w:rsid w:val="00700865"/>
    <w:rsid w:val="00706CE7"/>
    <w:rsid w:val="00711BA2"/>
    <w:rsid w:val="00712128"/>
    <w:rsid w:val="00712F84"/>
    <w:rsid w:val="007154F1"/>
    <w:rsid w:val="00722BBF"/>
    <w:rsid w:val="00731F69"/>
    <w:rsid w:val="00743CAF"/>
    <w:rsid w:val="00750DC3"/>
    <w:rsid w:val="0077399D"/>
    <w:rsid w:val="00773AC8"/>
    <w:rsid w:val="00785A55"/>
    <w:rsid w:val="007A6C65"/>
    <w:rsid w:val="007B01B3"/>
    <w:rsid w:val="007B05D1"/>
    <w:rsid w:val="007C7C41"/>
    <w:rsid w:val="007D2559"/>
    <w:rsid w:val="007D4892"/>
    <w:rsid w:val="007D6D66"/>
    <w:rsid w:val="007D6E0E"/>
    <w:rsid w:val="007E0833"/>
    <w:rsid w:val="007E2D27"/>
    <w:rsid w:val="00801062"/>
    <w:rsid w:val="0080583D"/>
    <w:rsid w:val="00810469"/>
    <w:rsid w:val="00813A79"/>
    <w:rsid w:val="00825689"/>
    <w:rsid w:val="00826C2A"/>
    <w:rsid w:val="008462E7"/>
    <w:rsid w:val="00853DB7"/>
    <w:rsid w:val="008655EF"/>
    <w:rsid w:val="00870587"/>
    <w:rsid w:val="00874BFD"/>
    <w:rsid w:val="00877D26"/>
    <w:rsid w:val="00885372"/>
    <w:rsid w:val="00885BB1"/>
    <w:rsid w:val="008A10B6"/>
    <w:rsid w:val="008A5D13"/>
    <w:rsid w:val="008B48B2"/>
    <w:rsid w:val="008E54DB"/>
    <w:rsid w:val="008E66EB"/>
    <w:rsid w:val="00903C20"/>
    <w:rsid w:val="00906CC5"/>
    <w:rsid w:val="00921051"/>
    <w:rsid w:val="00927127"/>
    <w:rsid w:val="009368D3"/>
    <w:rsid w:val="00937D1C"/>
    <w:rsid w:val="00951FAE"/>
    <w:rsid w:val="00961C65"/>
    <w:rsid w:val="00965F15"/>
    <w:rsid w:val="009754C8"/>
    <w:rsid w:val="00986D1F"/>
    <w:rsid w:val="00990BF4"/>
    <w:rsid w:val="009A1D1C"/>
    <w:rsid w:val="009B35B4"/>
    <w:rsid w:val="009B5FB6"/>
    <w:rsid w:val="009F136A"/>
    <w:rsid w:val="009F30ED"/>
    <w:rsid w:val="00A12750"/>
    <w:rsid w:val="00A16F7A"/>
    <w:rsid w:val="00A20E43"/>
    <w:rsid w:val="00A23BA5"/>
    <w:rsid w:val="00A35BB7"/>
    <w:rsid w:val="00A37FF5"/>
    <w:rsid w:val="00A42360"/>
    <w:rsid w:val="00A5392D"/>
    <w:rsid w:val="00A53A34"/>
    <w:rsid w:val="00A566D5"/>
    <w:rsid w:val="00A6087D"/>
    <w:rsid w:val="00A74CD8"/>
    <w:rsid w:val="00A77A98"/>
    <w:rsid w:val="00A81F44"/>
    <w:rsid w:val="00A91450"/>
    <w:rsid w:val="00A95092"/>
    <w:rsid w:val="00AA145B"/>
    <w:rsid w:val="00AB4256"/>
    <w:rsid w:val="00AC45ED"/>
    <w:rsid w:val="00AC51EC"/>
    <w:rsid w:val="00AD6534"/>
    <w:rsid w:val="00B0175F"/>
    <w:rsid w:val="00B22937"/>
    <w:rsid w:val="00B3412E"/>
    <w:rsid w:val="00B35BE1"/>
    <w:rsid w:val="00B37B00"/>
    <w:rsid w:val="00B52059"/>
    <w:rsid w:val="00B56A7F"/>
    <w:rsid w:val="00B60011"/>
    <w:rsid w:val="00B66748"/>
    <w:rsid w:val="00B7493C"/>
    <w:rsid w:val="00B81ED0"/>
    <w:rsid w:val="00B87532"/>
    <w:rsid w:val="00B931B4"/>
    <w:rsid w:val="00BA2B80"/>
    <w:rsid w:val="00BB0BBD"/>
    <w:rsid w:val="00BC6CD8"/>
    <w:rsid w:val="00BD0325"/>
    <w:rsid w:val="00BD487B"/>
    <w:rsid w:val="00BE0D00"/>
    <w:rsid w:val="00BE125F"/>
    <w:rsid w:val="00BF5E60"/>
    <w:rsid w:val="00C10E71"/>
    <w:rsid w:val="00C30043"/>
    <w:rsid w:val="00C56430"/>
    <w:rsid w:val="00C73F58"/>
    <w:rsid w:val="00CA2BEB"/>
    <w:rsid w:val="00CB7695"/>
    <w:rsid w:val="00CC512E"/>
    <w:rsid w:val="00CC68B0"/>
    <w:rsid w:val="00CD6C9C"/>
    <w:rsid w:val="00CF1803"/>
    <w:rsid w:val="00D069B4"/>
    <w:rsid w:val="00D159D5"/>
    <w:rsid w:val="00D1625A"/>
    <w:rsid w:val="00D379A2"/>
    <w:rsid w:val="00D42DED"/>
    <w:rsid w:val="00D70A69"/>
    <w:rsid w:val="00D75527"/>
    <w:rsid w:val="00D80103"/>
    <w:rsid w:val="00D85CA0"/>
    <w:rsid w:val="00D93253"/>
    <w:rsid w:val="00D9421F"/>
    <w:rsid w:val="00DA061F"/>
    <w:rsid w:val="00DA340E"/>
    <w:rsid w:val="00DA67B2"/>
    <w:rsid w:val="00DB2CAE"/>
    <w:rsid w:val="00DB5AB0"/>
    <w:rsid w:val="00DF2E12"/>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5622E"/>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6C9325F"/>
    <w:rsid w:val="093926A6"/>
    <w:rsid w:val="0C446C4A"/>
    <w:rsid w:val="0D3317AF"/>
    <w:rsid w:val="0F081287"/>
    <w:rsid w:val="111451B1"/>
    <w:rsid w:val="11AA79EB"/>
    <w:rsid w:val="11C702E0"/>
    <w:rsid w:val="12476873"/>
    <w:rsid w:val="13AD22D8"/>
    <w:rsid w:val="13FA30C4"/>
    <w:rsid w:val="145F6D78"/>
    <w:rsid w:val="14ED3D4F"/>
    <w:rsid w:val="15DD1DF8"/>
    <w:rsid w:val="1703305D"/>
    <w:rsid w:val="19996254"/>
    <w:rsid w:val="1B943177"/>
    <w:rsid w:val="1C0E2CEB"/>
    <w:rsid w:val="1C6019B5"/>
    <w:rsid w:val="1CB15175"/>
    <w:rsid w:val="1D4871EB"/>
    <w:rsid w:val="1DED3012"/>
    <w:rsid w:val="1E6A6074"/>
    <w:rsid w:val="21482DD7"/>
    <w:rsid w:val="215D592A"/>
    <w:rsid w:val="24AC4A25"/>
    <w:rsid w:val="26A54C67"/>
    <w:rsid w:val="2A166BC1"/>
    <w:rsid w:val="2D6F69C0"/>
    <w:rsid w:val="31647D66"/>
    <w:rsid w:val="358A2DE4"/>
    <w:rsid w:val="36993C98"/>
    <w:rsid w:val="36A42976"/>
    <w:rsid w:val="371A4C8C"/>
    <w:rsid w:val="3744399B"/>
    <w:rsid w:val="38136454"/>
    <w:rsid w:val="3AE971A8"/>
    <w:rsid w:val="3B0F6ACC"/>
    <w:rsid w:val="3BEE6177"/>
    <w:rsid w:val="3D422619"/>
    <w:rsid w:val="3EC5400E"/>
    <w:rsid w:val="3EEF109D"/>
    <w:rsid w:val="40E43974"/>
    <w:rsid w:val="40E616BA"/>
    <w:rsid w:val="433D6BDD"/>
    <w:rsid w:val="4349552E"/>
    <w:rsid w:val="4390748B"/>
    <w:rsid w:val="45EE264F"/>
    <w:rsid w:val="47EE40E5"/>
    <w:rsid w:val="47F87C39"/>
    <w:rsid w:val="49CA0BFE"/>
    <w:rsid w:val="49FF0303"/>
    <w:rsid w:val="4B386DCB"/>
    <w:rsid w:val="507A645F"/>
    <w:rsid w:val="507C67F8"/>
    <w:rsid w:val="50C55DBA"/>
    <w:rsid w:val="53871716"/>
    <w:rsid w:val="53A33245"/>
    <w:rsid w:val="53B31AE1"/>
    <w:rsid w:val="54F16ABB"/>
    <w:rsid w:val="55603AEE"/>
    <w:rsid w:val="564B20A8"/>
    <w:rsid w:val="586340B6"/>
    <w:rsid w:val="597B5CF8"/>
    <w:rsid w:val="5CE13DF9"/>
    <w:rsid w:val="5D7E5824"/>
    <w:rsid w:val="5E524C34"/>
    <w:rsid w:val="5EB804F7"/>
    <w:rsid w:val="60C04E5C"/>
    <w:rsid w:val="62AD0052"/>
    <w:rsid w:val="62FF4946"/>
    <w:rsid w:val="645E6340"/>
    <w:rsid w:val="665146E0"/>
    <w:rsid w:val="66A61F9B"/>
    <w:rsid w:val="68175E2B"/>
    <w:rsid w:val="68320EBE"/>
    <w:rsid w:val="68840209"/>
    <w:rsid w:val="696372E0"/>
    <w:rsid w:val="6CCB679F"/>
    <w:rsid w:val="6D7825A4"/>
    <w:rsid w:val="6D8F68C7"/>
    <w:rsid w:val="7151042E"/>
    <w:rsid w:val="727C7561"/>
    <w:rsid w:val="76A0780E"/>
    <w:rsid w:val="777D621D"/>
    <w:rsid w:val="7D415502"/>
    <w:rsid w:val="7EC116BC"/>
    <w:rsid w:val="7F08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jc w:val="center"/>
      <w:outlineLvl w:val="0"/>
    </w:pPr>
    <w:rPr>
      <w:szCs w:val="20"/>
    </w:rPr>
  </w:style>
  <w:style w:type="paragraph" w:styleId="4">
    <w:name w:val="heading 2"/>
    <w:basedOn w:val="1"/>
    <w:next w:val="1"/>
    <w:link w:val="86"/>
    <w:autoRedefine/>
    <w:qFormat/>
    <w:uiPriority w:val="0"/>
    <w:pPr>
      <w:keepNext/>
      <w:keepLines/>
      <w:spacing w:line="360" w:lineRule="auto"/>
      <w:outlineLvl w:val="1"/>
    </w:pPr>
    <w:rPr>
      <w:rFonts w:ascii="Arial" w:hAnsi="Arial"/>
      <w:b/>
      <w:bCs/>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3"/>
    <w:next w:val="1"/>
    <w:autoRedefine/>
    <w:qFormat/>
    <w:uiPriority w:val="0"/>
  </w:style>
  <w:style w:type="paragraph" w:styleId="5">
    <w:name w:val="Normal Indent"/>
    <w:basedOn w:val="1"/>
    <w:next w:val="6"/>
    <w:autoRedefine/>
    <w:qFormat/>
    <w:uiPriority w:val="0"/>
    <w:pPr>
      <w:ind w:firstLine="420" w:firstLineChars="200"/>
    </w:pPr>
    <w:rPr>
      <w:rFonts w:ascii="Calibri" w:hAnsi="Calibri"/>
      <w:sz w:val="24"/>
      <w:szCs w:val="22"/>
    </w:rPr>
  </w:style>
  <w:style w:type="paragraph" w:customStyle="1" w:styleId="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link w:val="90"/>
    <w:autoRedefine/>
    <w:semiHidden/>
    <w:unhideWhenUsed/>
    <w:qFormat/>
    <w:uiPriority w:val="0"/>
    <w:pPr>
      <w:jc w:val="left"/>
    </w:pPr>
  </w:style>
  <w:style w:type="paragraph" w:styleId="8">
    <w:name w:val="Body Text"/>
    <w:basedOn w:val="1"/>
    <w:link w:val="87"/>
    <w:autoRedefine/>
    <w:qFormat/>
    <w:uiPriority w:val="0"/>
    <w:pPr>
      <w:spacing w:after="120"/>
    </w:pPr>
  </w:style>
  <w:style w:type="paragraph" w:styleId="9">
    <w:name w:val="Body Text Indent"/>
    <w:basedOn w:val="1"/>
    <w:next w:val="10"/>
    <w:link w:val="82"/>
    <w:autoRedefine/>
    <w:qFormat/>
    <w:uiPriority w:val="0"/>
    <w:pPr>
      <w:adjustRightInd w:val="0"/>
      <w:snapToGrid w:val="0"/>
      <w:spacing w:line="360" w:lineRule="atLeast"/>
      <w:ind w:firstLine="480"/>
    </w:pPr>
    <w:rPr>
      <w:sz w:val="24"/>
    </w:rPr>
  </w:style>
  <w:style w:type="paragraph" w:styleId="10">
    <w:name w:val="annotation subject"/>
    <w:basedOn w:val="7"/>
    <w:next w:val="1"/>
    <w:link w:val="91"/>
    <w:autoRedefine/>
    <w:semiHidden/>
    <w:unhideWhenUsed/>
    <w:qFormat/>
    <w:uiPriority w:val="0"/>
    <w:rPr>
      <w:b/>
      <w:bCs/>
    </w:rPr>
  </w:style>
  <w:style w:type="paragraph" w:styleId="11">
    <w:name w:val="Body Text Indent 2"/>
    <w:basedOn w:val="1"/>
    <w:autoRedefine/>
    <w:qFormat/>
    <w:uiPriority w:val="99"/>
    <w:pPr>
      <w:spacing w:after="120" w:line="480" w:lineRule="auto"/>
      <w:ind w:left="420" w:leftChars="200"/>
    </w:pPr>
    <w:rPr>
      <w:kern w:val="0"/>
      <w:sz w:val="24"/>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Body Text 2"/>
    <w:basedOn w:val="1"/>
    <w:link w:val="84"/>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Body Text First Indent 2"/>
    <w:basedOn w:val="9"/>
    <w:next w:val="1"/>
    <w:link w:val="83"/>
    <w:autoRedefine/>
    <w:qFormat/>
    <w:uiPriority w:val="0"/>
    <w:pPr>
      <w:adjustRightInd/>
      <w:snapToGrid/>
      <w:spacing w:after="120" w:line="240" w:lineRule="auto"/>
      <w:ind w:left="420" w:leftChars="200" w:firstLine="420" w:firstLineChars="200"/>
    </w:pPr>
    <w:rPr>
      <w:sz w:val="21"/>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FollowedHyperlink"/>
    <w:autoRedefine/>
    <w:unhideWhenUsed/>
    <w:qFormat/>
    <w:uiPriority w:val="99"/>
    <w:rPr>
      <w:color w:val="800080"/>
      <w:u w:val="single"/>
    </w:rPr>
  </w:style>
  <w:style w:type="character" w:styleId="24">
    <w:name w:val="Emphasis"/>
    <w:autoRedefine/>
    <w:qFormat/>
    <w:uiPriority w:val="0"/>
    <w:rPr>
      <w:color w:val="CC0000"/>
    </w:rPr>
  </w:style>
  <w:style w:type="character" w:styleId="25">
    <w:name w:val="Hyperlink"/>
    <w:autoRedefine/>
    <w:qFormat/>
    <w:uiPriority w:val="99"/>
    <w:rPr>
      <w:color w:val="990000"/>
      <w:sz w:val="18"/>
      <w:szCs w:val="18"/>
      <w:u w:val="none"/>
    </w:rPr>
  </w:style>
  <w:style w:type="character" w:styleId="26">
    <w:name w:val="annotation reference"/>
    <w:basedOn w:val="21"/>
    <w:autoRedefine/>
    <w:semiHidden/>
    <w:unhideWhenUsed/>
    <w:qFormat/>
    <w:uiPriority w:val="0"/>
    <w:rPr>
      <w:sz w:val="21"/>
      <w:szCs w:val="21"/>
    </w:rPr>
  </w:style>
  <w:style w:type="character" w:customStyle="1" w:styleId="27">
    <w:name w:val="style21"/>
    <w:autoRedefine/>
    <w:qFormat/>
    <w:uiPriority w:val="0"/>
    <w:rPr>
      <w:sz w:val="22"/>
      <w:szCs w:val="22"/>
    </w:rPr>
  </w:style>
  <w:style w:type="character" w:customStyle="1" w:styleId="28">
    <w:name w:val="font21"/>
    <w:autoRedefine/>
    <w:qFormat/>
    <w:uiPriority w:val="0"/>
    <w:rPr>
      <w:rFonts w:hint="eastAsia" w:ascii="宋体" w:hAnsi="宋体" w:eastAsia="宋体" w:cs="宋体"/>
      <w:color w:val="000000"/>
      <w:sz w:val="20"/>
      <w:szCs w:val="20"/>
      <w:u w:val="none"/>
    </w:rPr>
  </w:style>
  <w:style w:type="character" w:customStyle="1" w:styleId="29">
    <w:name w:val="font41"/>
    <w:autoRedefine/>
    <w:qFormat/>
    <w:uiPriority w:val="0"/>
    <w:rPr>
      <w:rFonts w:ascii="微软雅黑" w:hAnsi="微软雅黑" w:eastAsia="微软雅黑" w:cs="微软雅黑"/>
      <w:b/>
      <w:color w:val="000000"/>
      <w:sz w:val="40"/>
      <w:szCs w:val="40"/>
      <w:u w:val="none"/>
    </w:rPr>
  </w:style>
  <w:style w:type="character" w:customStyle="1" w:styleId="30">
    <w:name w:val="font01"/>
    <w:autoRedefine/>
    <w:qFormat/>
    <w:uiPriority w:val="0"/>
    <w:rPr>
      <w:rFonts w:hint="eastAsia" w:ascii="宋体" w:hAnsi="宋体" w:eastAsia="宋体" w:cs="宋体"/>
      <w:color w:val="000000"/>
      <w:sz w:val="22"/>
      <w:szCs w:val="22"/>
      <w:u w:val="none"/>
    </w:rPr>
  </w:style>
  <w:style w:type="character" w:customStyle="1" w:styleId="31">
    <w:name w:val="font31"/>
    <w:autoRedefine/>
    <w:qFormat/>
    <w:uiPriority w:val="0"/>
    <w:rPr>
      <w:rFonts w:hint="eastAsia" w:ascii="微软雅黑" w:hAnsi="微软雅黑" w:eastAsia="微软雅黑" w:cs="微软雅黑"/>
      <w:color w:val="000000"/>
      <w:sz w:val="20"/>
      <w:szCs w:val="20"/>
      <w:u w:val="none"/>
    </w:rPr>
  </w:style>
  <w:style w:type="paragraph" w:customStyle="1" w:styleId="32">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4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9">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6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5">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9">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2">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5">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7">
    <w:name w:val="font51"/>
    <w:basedOn w:val="21"/>
    <w:autoRedefine/>
    <w:qFormat/>
    <w:uiPriority w:val="0"/>
    <w:rPr>
      <w:rFonts w:hint="eastAsia" w:ascii="宋体" w:hAnsi="宋体" w:eastAsia="宋体" w:cs="宋体"/>
      <w:color w:val="000000"/>
      <w:sz w:val="24"/>
      <w:szCs w:val="24"/>
      <w:u w:val="none"/>
    </w:rPr>
  </w:style>
  <w:style w:type="character" w:customStyle="1" w:styleId="78">
    <w:name w:val="font81"/>
    <w:basedOn w:val="21"/>
    <w:autoRedefine/>
    <w:qFormat/>
    <w:uiPriority w:val="0"/>
    <w:rPr>
      <w:rFonts w:hint="eastAsia" w:ascii="宋体" w:hAnsi="宋体" w:eastAsia="宋体" w:cs="宋体"/>
      <w:color w:val="000000"/>
      <w:sz w:val="24"/>
      <w:szCs w:val="24"/>
      <w:u w:val="none"/>
    </w:rPr>
  </w:style>
  <w:style w:type="character" w:customStyle="1" w:styleId="79">
    <w:name w:val="font151"/>
    <w:basedOn w:val="21"/>
    <w:autoRedefine/>
    <w:qFormat/>
    <w:uiPriority w:val="0"/>
    <w:rPr>
      <w:rFonts w:hint="eastAsia" w:ascii="宋体" w:hAnsi="宋体" w:eastAsia="宋体" w:cs="宋体"/>
      <w:b/>
      <w:bCs/>
      <w:color w:val="000000"/>
      <w:sz w:val="24"/>
      <w:szCs w:val="24"/>
      <w:u w:val="none"/>
    </w:rPr>
  </w:style>
  <w:style w:type="character" w:customStyle="1" w:styleId="80">
    <w:name w:val="font161"/>
    <w:basedOn w:val="21"/>
    <w:autoRedefine/>
    <w:qFormat/>
    <w:uiPriority w:val="0"/>
    <w:rPr>
      <w:rFonts w:hint="eastAsia" w:ascii="宋体" w:hAnsi="宋体" w:eastAsia="宋体" w:cs="宋体"/>
      <w:b/>
      <w:bCs/>
      <w:color w:val="000000"/>
      <w:sz w:val="22"/>
      <w:szCs w:val="22"/>
      <w:u w:val="none"/>
    </w:rPr>
  </w:style>
  <w:style w:type="paragraph" w:styleId="81">
    <w:name w:val="List Paragraph"/>
    <w:basedOn w:val="1"/>
    <w:autoRedefine/>
    <w:unhideWhenUsed/>
    <w:qFormat/>
    <w:uiPriority w:val="99"/>
    <w:pPr>
      <w:ind w:firstLine="420" w:firstLineChars="200"/>
    </w:pPr>
  </w:style>
  <w:style w:type="character" w:customStyle="1" w:styleId="82">
    <w:name w:val="正文文本缩进 字符"/>
    <w:basedOn w:val="21"/>
    <w:link w:val="9"/>
    <w:autoRedefine/>
    <w:qFormat/>
    <w:uiPriority w:val="0"/>
    <w:rPr>
      <w:kern w:val="2"/>
      <w:sz w:val="24"/>
      <w:szCs w:val="24"/>
    </w:rPr>
  </w:style>
  <w:style w:type="character" w:customStyle="1" w:styleId="83">
    <w:name w:val="正文文本首行缩进 2 字符"/>
    <w:basedOn w:val="82"/>
    <w:link w:val="18"/>
    <w:autoRedefine/>
    <w:qFormat/>
    <w:uiPriority w:val="0"/>
    <w:rPr>
      <w:kern w:val="2"/>
      <w:sz w:val="24"/>
      <w:szCs w:val="24"/>
    </w:rPr>
  </w:style>
  <w:style w:type="character" w:customStyle="1" w:styleId="84">
    <w:name w:val="正文文本 2 字符"/>
    <w:basedOn w:val="21"/>
    <w:link w:val="16"/>
    <w:autoRedefine/>
    <w:qFormat/>
    <w:uiPriority w:val="0"/>
    <w:rPr>
      <w:kern w:val="2"/>
      <w:sz w:val="21"/>
      <w:szCs w:val="24"/>
    </w:rPr>
  </w:style>
  <w:style w:type="paragraph" w:customStyle="1" w:styleId="85">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6">
    <w:name w:val="标题 2 字符"/>
    <w:basedOn w:val="21"/>
    <w:link w:val="4"/>
    <w:autoRedefine/>
    <w:qFormat/>
    <w:uiPriority w:val="0"/>
    <w:rPr>
      <w:rFonts w:ascii="Arial" w:hAnsi="Arial"/>
      <w:b/>
      <w:bCs/>
      <w:kern w:val="2"/>
      <w:sz w:val="24"/>
      <w:szCs w:val="32"/>
    </w:rPr>
  </w:style>
  <w:style w:type="character" w:customStyle="1" w:styleId="87">
    <w:name w:val="正文文本 字符"/>
    <w:basedOn w:val="21"/>
    <w:link w:val="8"/>
    <w:autoRedefine/>
    <w:qFormat/>
    <w:uiPriority w:val="0"/>
    <w:rPr>
      <w:kern w:val="2"/>
      <w:sz w:val="21"/>
      <w:szCs w:val="24"/>
    </w:rPr>
  </w:style>
  <w:style w:type="paragraph" w:customStyle="1" w:styleId="88">
    <w:name w:val="EndnoteText"/>
    <w:basedOn w:val="1"/>
    <w:autoRedefine/>
    <w:qFormat/>
    <w:uiPriority w:val="0"/>
  </w:style>
  <w:style w:type="paragraph" w:customStyle="1" w:styleId="89">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90">
    <w:name w:val="批注文字 字符"/>
    <w:basedOn w:val="21"/>
    <w:link w:val="7"/>
    <w:autoRedefine/>
    <w:semiHidden/>
    <w:qFormat/>
    <w:uiPriority w:val="0"/>
    <w:rPr>
      <w:kern w:val="2"/>
      <w:sz w:val="21"/>
      <w:szCs w:val="24"/>
    </w:rPr>
  </w:style>
  <w:style w:type="character" w:customStyle="1" w:styleId="91">
    <w:name w:val="批注主题 字符"/>
    <w:basedOn w:val="90"/>
    <w:link w:val="10"/>
    <w:autoRedefine/>
    <w:semiHidden/>
    <w:qFormat/>
    <w:uiPriority w:val="0"/>
    <w:rPr>
      <w:b/>
      <w:bCs/>
      <w:kern w:val="2"/>
      <w:sz w:val="21"/>
      <w:szCs w:val="24"/>
    </w:rPr>
  </w:style>
  <w:style w:type="character" w:customStyle="1" w:styleId="92">
    <w:name w:val="15"/>
    <w:autoRedefine/>
    <w:qFormat/>
    <w:uiPriority w:val="0"/>
    <w:rPr>
      <w:rFonts w:hint="default" w:ascii="Times New Roman" w:hAnsi="Times New Roman" w:cs="Times New Roman"/>
      <w:color w:val="0000FF"/>
      <w:u w:val="single"/>
    </w:rPr>
  </w:style>
  <w:style w:type="paragraph" w:customStyle="1" w:styleId="93">
    <w:name w:val="Normal_42"/>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26</Pages>
  <Words>13563</Words>
  <Characters>14194</Characters>
  <Lines>115</Lines>
  <Paragraphs>32</Paragraphs>
  <TotalTime>36</TotalTime>
  <ScaleCrop>false</ScaleCrop>
  <LinksUpToDate>false</LinksUpToDate>
  <CharactersWithSpaces>15025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2024-04-19T03:55:00Z</dcterms:created>
  <dc:creator>jwc</dc:creator>
  <cp:lastModifiedBy>茜茜坨</cp:lastModifiedBy>
  <cp:lastPrinted>2009-02-17T01:24:00Z</cp:lastPrinted>
  <dcterms:modified xsi:type="dcterms:W3CDTF">2024-06-14T08:13:42Z</dcterms:modified>
  <dc:title>湖南科技大学2005-2006年教材招标</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FFC84D6AC419408C8543C6D88F8F7068_13</vt:lpwstr>
  </property>
</Properties>
</file>