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C1AF31">
      <w:pPr>
        <w:widowControl w:val="0"/>
        <w:adjustRightInd w:val="0"/>
        <w:snapToGrid w:val="0"/>
        <w:spacing w:line="240" w:lineRule="atLeast"/>
        <w:jc w:val="center"/>
        <w:rPr>
          <w:rFonts w:hint="eastAsia" w:ascii="宋体" w:hAnsi="宋体" w:eastAsia="宋体" w:cs="宋体"/>
          <w:kern w:val="2"/>
          <w:sz w:val="21"/>
          <w:szCs w:val="21"/>
          <w:lang w:val="en-US" w:eastAsia="zh-CN" w:bidi="ar-SA"/>
        </w:rPr>
      </w:pPr>
      <w:bookmarkStart w:id="0" w:name="OLE_LINK180"/>
    </w:p>
    <w:p w14:paraId="506ADD4A">
      <w:pPr>
        <w:widowControl w:val="0"/>
        <w:adjustRightInd w:val="0"/>
        <w:snapToGrid w:val="0"/>
        <w:spacing w:line="240" w:lineRule="atLeast"/>
        <w:jc w:val="center"/>
        <w:rPr>
          <w:rFonts w:hint="eastAsia" w:ascii="宋体" w:hAnsi="宋体" w:eastAsia="宋体" w:cs="宋体"/>
          <w:kern w:val="2"/>
          <w:sz w:val="21"/>
          <w:szCs w:val="21"/>
          <w:lang w:val="en-US" w:eastAsia="zh-CN" w:bidi="ar-SA"/>
        </w:rPr>
      </w:pPr>
    </w:p>
    <w:p w14:paraId="2EB84EB4">
      <w:pPr>
        <w:widowControl w:val="0"/>
        <w:adjustRightInd w:val="0"/>
        <w:snapToGrid w:val="0"/>
        <w:spacing w:line="240" w:lineRule="atLeast"/>
        <w:jc w:val="center"/>
        <w:rPr>
          <w:rFonts w:hint="eastAsia" w:ascii="宋体" w:hAnsi="宋体" w:eastAsia="宋体" w:cs="宋体"/>
          <w:kern w:val="2"/>
          <w:sz w:val="21"/>
          <w:szCs w:val="21"/>
          <w:lang w:val="en-US" w:eastAsia="zh-CN" w:bidi="ar-SA"/>
        </w:rPr>
      </w:pPr>
    </w:p>
    <w:p w14:paraId="6FB01BAA">
      <w:pPr>
        <w:widowControl w:val="0"/>
        <w:adjustRightInd w:val="0"/>
        <w:snapToGrid w:val="0"/>
        <w:spacing w:line="240" w:lineRule="atLeast"/>
        <w:jc w:val="center"/>
        <w:rPr>
          <w:rFonts w:hint="eastAsia" w:ascii="宋体" w:hAnsi="宋体" w:eastAsia="宋体" w:cs="宋体"/>
          <w:kern w:val="2"/>
          <w:sz w:val="21"/>
          <w:szCs w:val="21"/>
          <w:lang w:val="en-US" w:eastAsia="zh-CN" w:bidi="ar-SA"/>
        </w:rPr>
      </w:pPr>
    </w:p>
    <w:p w14:paraId="52224583">
      <w:pPr>
        <w:widowControl w:val="0"/>
        <w:adjustRightInd w:val="0"/>
        <w:snapToGrid w:val="0"/>
        <w:spacing w:line="240" w:lineRule="atLeast"/>
        <w:jc w:val="center"/>
        <w:rPr>
          <w:rFonts w:hint="eastAsia" w:ascii="宋体" w:hAnsi="宋体" w:eastAsia="宋体" w:cs="宋体"/>
          <w:b/>
          <w:bCs/>
          <w:kern w:val="2"/>
          <w:sz w:val="84"/>
          <w:szCs w:val="84"/>
          <w:lang w:val="en-US" w:eastAsia="zh-CN" w:bidi="ar-SA"/>
        </w:rPr>
      </w:pPr>
    </w:p>
    <w:p w14:paraId="07D19D11">
      <w:pPr>
        <w:widowControl w:val="0"/>
        <w:adjustRightInd w:val="0"/>
        <w:snapToGrid w:val="0"/>
        <w:spacing w:line="240" w:lineRule="atLeast"/>
        <w:jc w:val="center"/>
        <w:rPr>
          <w:rFonts w:hint="eastAsia" w:ascii="宋体" w:hAnsi="宋体" w:eastAsia="宋体" w:cs="宋体"/>
          <w:b/>
          <w:bCs/>
          <w:kern w:val="2"/>
          <w:sz w:val="84"/>
          <w:szCs w:val="84"/>
          <w:lang w:val="en-US" w:eastAsia="zh-CN" w:bidi="ar-SA"/>
        </w:rPr>
      </w:pPr>
      <w:r>
        <w:rPr>
          <w:rFonts w:hint="eastAsia" w:ascii="宋体" w:hAnsi="宋体" w:eastAsia="宋体" w:cs="宋体"/>
          <w:b/>
          <w:bCs/>
          <w:kern w:val="2"/>
          <w:sz w:val="84"/>
          <w:szCs w:val="84"/>
          <w:lang w:val="en-US" w:eastAsia="zh-CN" w:bidi="ar-SA"/>
        </w:rPr>
        <w:t>政府采购</w:t>
      </w:r>
    </w:p>
    <w:p w14:paraId="0F834CED">
      <w:pPr>
        <w:widowControl w:val="0"/>
        <w:adjustRightInd w:val="0"/>
        <w:snapToGrid w:val="0"/>
        <w:spacing w:line="240" w:lineRule="atLeast"/>
        <w:ind w:firstLine="420"/>
        <w:jc w:val="center"/>
        <w:rPr>
          <w:rFonts w:hint="eastAsia" w:ascii="宋体" w:hAnsi="宋体" w:eastAsia="宋体" w:cs="宋体"/>
          <w:b/>
          <w:bCs/>
          <w:kern w:val="2"/>
          <w:sz w:val="84"/>
          <w:szCs w:val="84"/>
          <w:lang w:val="en-US" w:eastAsia="zh-CN" w:bidi="ar-SA"/>
        </w:rPr>
      </w:pPr>
      <w:r>
        <w:rPr>
          <w:rFonts w:hint="eastAsia" w:ascii="宋体" w:hAnsi="宋体" w:eastAsia="宋体" w:cs="宋体"/>
          <w:b/>
          <w:bCs/>
          <w:kern w:val="2"/>
          <w:sz w:val="84"/>
          <w:szCs w:val="84"/>
          <w:lang w:val="en-US" w:eastAsia="zh-CN" w:bidi="ar-SA"/>
        </w:rPr>
        <w:t>公开招标文件</w:t>
      </w:r>
    </w:p>
    <w:p w14:paraId="3B2AD8F8">
      <w:pPr>
        <w:widowControl w:val="0"/>
        <w:adjustRightInd w:val="0"/>
        <w:snapToGrid w:val="0"/>
        <w:spacing w:line="240" w:lineRule="atLeast"/>
        <w:jc w:val="center"/>
        <w:rPr>
          <w:rFonts w:hint="eastAsia" w:ascii="宋体" w:hAnsi="宋体" w:eastAsia="宋体" w:cs="宋体"/>
          <w:b/>
          <w:bCs/>
          <w:kern w:val="2"/>
          <w:sz w:val="44"/>
          <w:szCs w:val="44"/>
          <w:lang w:val="en-US" w:eastAsia="zh-CN" w:bidi="ar-SA"/>
        </w:rPr>
      </w:pPr>
    </w:p>
    <w:p w14:paraId="75D276C2">
      <w:pPr>
        <w:widowControl w:val="0"/>
        <w:adjustRightInd w:val="0"/>
        <w:snapToGrid w:val="0"/>
        <w:spacing w:line="240" w:lineRule="atLeast"/>
        <w:jc w:val="center"/>
        <w:rPr>
          <w:rFonts w:hint="eastAsia" w:ascii="宋体" w:hAnsi="宋体" w:eastAsia="宋体" w:cs="宋体"/>
          <w:b/>
          <w:bCs/>
          <w:kern w:val="2"/>
          <w:sz w:val="44"/>
          <w:szCs w:val="44"/>
          <w:lang w:val="en-US" w:eastAsia="zh-CN" w:bidi="ar-SA"/>
        </w:rPr>
      </w:pPr>
    </w:p>
    <w:p w14:paraId="2622FA6C">
      <w:pPr>
        <w:widowControl w:val="0"/>
        <w:adjustRightInd w:val="0"/>
        <w:snapToGrid w:val="0"/>
        <w:spacing w:line="240" w:lineRule="atLeast"/>
        <w:jc w:val="both"/>
        <w:rPr>
          <w:rFonts w:hint="eastAsia" w:ascii="宋体" w:hAnsi="宋体" w:eastAsia="宋体" w:cs="宋体"/>
          <w:bCs/>
          <w:kern w:val="2"/>
          <w:sz w:val="21"/>
          <w:szCs w:val="21"/>
          <w:lang w:val="en-US" w:eastAsia="zh-CN" w:bidi="ar-SA"/>
        </w:rPr>
      </w:pPr>
    </w:p>
    <w:p w14:paraId="26EDC426">
      <w:pPr>
        <w:widowControl w:val="0"/>
        <w:adjustRightInd w:val="0"/>
        <w:snapToGrid w:val="0"/>
        <w:spacing w:line="240" w:lineRule="atLeast"/>
        <w:jc w:val="both"/>
        <w:rPr>
          <w:rFonts w:hint="eastAsia" w:ascii="宋体" w:hAnsi="宋体" w:eastAsia="宋体" w:cs="宋体"/>
          <w:bCs/>
          <w:kern w:val="2"/>
          <w:sz w:val="21"/>
          <w:szCs w:val="21"/>
          <w:lang w:val="en-US" w:eastAsia="zh-CN" w:bidi="ar-SA"/>
        </w:rPr>
      </w:pPr>
    </w:p>
    <w:p w14:paraId="0A8AA127">
      <w:pPr>
        <w:adjustRightInd w:val="0"/>
        <w:snapToGrid w:val="0"/>
        <w:spacing w:line="360" w:lineRule="auto"/>
        <w:rPr>
          <w:rFonts w:hint="eastAsia" w:ascii="宋体" w:hAnsi="宋体" w:eastAsia="宋体" w:cs="宋体"/>
          <w:b/>
          <w:sz w:val="32"/>
          <w:szCs w:val="32"/>
        </w:rPr>
      </w:pPr>
      <w:bookmarkStart w:id="1" w:name="OLE_LINK134"/>
    </w:p>
    <w:p w14:paraId="03550341">
      <w:pPr>
        <w:adjustRightInd w:val="0"/>
        <w:snapToGrid w:val="0"/>
        <w:spacing w:line="360" w:lineRule="auto"/>
        <w:ind w:left="3404" w:leftChars="550" w:hanging="2249" w:hangingChars="700"/>
        <w:rPr>
          <w:rFonts w:hint="eastAsia" w:ascii="宋体" w:hAnsi="宋体" w:eastAsia="宋体" w:cs="宋体"/>
          <w:b/>
          <w:sz w:val="32"/>
          <w:szCs w:val="32"/>
        </w:rPr>
      </w:pPr>
      <w:r>
        <w:rPr>
          <w:rFonts w:hint="eastAsia" w:ascii="宋体" w:hAnsi="宋体" w:eastAsia="宋体" w:cs="宋体"/>
          <w:b/>
          <w:sz w:val="32"/>
          <w:szCs w:val="32"/>
        </w:rPr>
        <w:t>采购项目名称：</w:t>
      </w:r>
      <w:r>
        <w:rPr>
          <w:rFonts w:hint="eastAsia" w:ascii="宋体" w:hAnsi="宋体" w:eastAsia="宋体" w:cs="宋体"/>
          <w:bCs/>
          <w:sz w:val="32"/>
          <w:szCs w:val="32"/>
        </w:rPr>
        <w:t>湖南化工职业技术学院生物医药与功能材料工程技术中心—仪器与配套设备购置项目</w:t>
      </w:r>
    </w:p>
    <w:p w14:paraId="6F6A7CEC">
      <w:pPr>
        <w:adjustRightInd w:val="0"/>
        <w:snapToGrid w:val="0"/>
        <w:spacing w:line="480" w:lineRule="auto"/>
        <w:ind w:firstLine="1124" w:firstLineChars="35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政府采购编号：</w:t>
      </w:r>
      <w:r>
        <w:rPr>
          <w:rFonts w:hint="eastAsia" w:ascii="宋体" w:hAnsi="宋体" w:eastAsia="宋体" w:cs="宋体"/>
          <w:bCs/>
          <w:color w:val="auto"/>
          <w:sz w:val="32"/>
          <w:szCs w:val="32"/>
          <w:highlight w:val="none"/>
        </w:rPr>
        <w:t>(2026)430000001288-1</w:t>
      </w:r>
    </w:p>
    <w:p w14:paraId="63475F4C">
      <w:pPr>
        <w:adjustRightInd w:val="0"/>
        <w:snapToGrid w:val="0"/>
        <w:spacing w:line="480" w:lineRule="auto"/>
        <w:ind w:firstLine="1124" w:firstLineChars="350"/>
        <w:rPr>
          <w:rFonts w:hint="eastAsia" w:ascii="宋体" w:hAnsi="宋体" w:eastAsia="宋体" w:cs="宋体"/>
          <w:b/>
          <w:sz w:val="32"/>
          <w:szCs w:val="32"/>
        </w:rPr>
      </w:pPr>
      <w:r>
        <w:rPr>
          <w:rFonts w:hint="eastAsia" w:ascii="宋体" w:hAnsi="宋体" w:eastAsia="宋体" w:cs="宋体"/>
          <w:b/>
          <w:sz w:val="32"/>
          <w:szCs w:val="32"/>
        </w:rPr>
        <w:t>采购代理编号：</w:t>
      </w:r>
      <w:r>
        <w:rPr>
          <w:rFonts w:hint="eastAsia" w:ascii="宋体" w:hAnsi="宋体" w:eastAsia="宋体" w:cs="宋体"/>
          <w:bCs/>
          <w:sz w:val="32"/>
          <w:szCs w:val="32"/>
        </w:rPr>
        <w:t>HNHZ-CS-2026097</w:t>
      </w:r>
    </w:p>
    <w:p w14:paraId="441FD73A">
      <w:pPr>
        <w:adjustRightInd w:val="0"/>
        <w:snapToGrid w:val="0"/>
        <w:spacing w:line="480" w:lineRule="auto"/>
        <w:ind w:firstLine="1124" w:firstLineChars="350"/>
        <w:rPr>
          <w:rFonts w:hint="eastAsia" w:ascii="宋体" w:hAnsi="宋体" w:eastAsia="宋体" w:cs="宋体"/>
          <w:b/>
          <w:sz w:val="32"/>
          <w:szCs w:val="32"/>
        </w:rPr>
      </w:pPr>
      <w:r>
        <w:rPr>
          <w:rFonts w:hint="eastAsia" w:ascii="宋体" w:hAnsi="宋体" w:eastAsia="宋体" w:cs="宋体"/>
          <w:b/>
          <w:sz w:val="32"/>
          <w:szCs w:val="32"/>
        </w:rPr>
        <w:t>采   购   人：</w:t>
      </w:r>
      <w:bookmarkStart w:id="2" w:name="OLE_LINK90"/>
      <w:r>
        <w:rPr>
          <w:rFonts w:hint="eastAsia" w:ascii="宋体" w:hAnsi="宋体" w:eastAsia="宋体" w:cs="宋体"/>
          <w:bCs/>
          <w:sz w:val="32"/>
          <w:szCs w:val="32"/>
        </w:rPr>
        <w:t>湖南化工职业技术学院</w:t>
      </w:r>
      <w:bookmarkEnd w:id="2"/>
    </w:p>
    <w:p w14:paraId="1490A623">
      <w:pPr>
        <w:adjustRightInd w:val="0"/>
        <w:snapToGrid w:val="0"/>
        <w:spacing w:line="480" w:lineRule="auto"/>
        <w:ind w:firstLine="1124" w:firstLineChars="350"/>
        <w:rPr>
          <w:rFonts w:hint="eastAsia" w:ascii="宋体" w:hAnsi="宋体" w:eastAsia="宋体" w:cs="宋体"/>
          <w:b/>
          <w:sz w:val="32"/>
          <w:szCs w:val="32"/>
        </w:rPr>
      </w:pPr>
      <w:r>
        <w:rPr>
          <w:rFonts w:hint="eastAsia" w:ascii="宋体" w:hAnsi="宋体" w:eastAsia="宋体" w:cs="宋体"/>
          <w:b/>
          <w:sz w:val="32"/>
          <w:szCs w:val="32"/>
        </w:rPr>
        <w:t>采购代理机构：</w:t>
      </w:r>
      <w:r>
        <w:rPr>
          <w:rFonts w:hint="eastAsia" w:ascii="宋体" w:hAnsi="宋体" w:eastAsia="宋体" w:cs="宋体"/>
          <w:bCs/>
          <w:sz w:val="32"/>
          <w:szCs w:val="32"/>
        </w:rPr>
        <w:t>湖南恒泽项目管理有限公司</w:t>
      </w:r>
    </w:p>
    <w:p w14:paraId="0C424CEF">
      <w:pPr>
        <w:adjustRightInd w:val="0"/>
        <w:snapToGrid w:val="0"/>
        <w:spacing w:line="480" w:lineRule="auto"/>
        <w:ind w:firstLine="1124" w:firstLineChars="350"/>
        <w:rPr>
          <w:rFonts w:hint="eastAsia" w:ascii="宋体" w:hAnsi="宋体" w:eastAsia="宋体" w:cs="宋体"/>
          <w:bCs/>
          <w:sz w:val="32"/>
          <w:szCs w:val="32"/>
        </w:rPr>
      </w:pPr>
      <w:r>
        <w:rPr>
          <w:rFonts w:hint="eastAsia" w:ascii="宋体" w:hAnsi="宋体" w:eastAsia="宋体" w:cs="宋体"/>
          <w:b/>
          <w:sz w:val="32"/>
          <w:szCs w:val="32"/>
        </w:rPr>
        <w:t>日        期：</w:t>
      </w:r>
      <w:r>
        <w:rPr>
          <w:rFonts w:hint="eastAsia" w:ascii="宋体" w:hAnsi="宋体" w:eastAsia="宋体" w:cs="宋体"/>
          <w:bCs/>
          <w:sz w:val="32"/>
          <w:szCs w:val="32"/>
        </w:rPr>
        <w:t>二〇二六年</w:t>
      </w:r>
      <w:r>
        <w:rPr>
          <w:rFonts w:hint="eastAsia" w:ascii="宋体" w:hAnsi="宋体" w:eastAsia="宋体" w:cs="宋体"/>
          <w:bCs/>
          <w:sz w:val="32"/>
          <w:szCs w:val="32"/>
          <w:lang w:val="en-US" w:eastAsia="zh-CN"/>
        </w:rPr>
        <w:t>八</w:t>
      </w:r>
      <w:r>
        <w:rPr>
          <w:rFonts w:hint="eastAsia" w:ascii="宋体" w:hAnsi="宋体" w:eastAsia="宋体" w:cs="宋体"/>
          <w:bCs/>
          <w:sz w:val="32"/>
          <w:szCs w:val="32"/>
        </w:rPr>
        <w:t>月</w:t>
      </w:r>
      <w:bookmarkEnd w:id="0"/>
    </w:p>
    <w:p w14:paraId="668E137C">
      <w:pPr>
        <w:adjustRightInd w:val="0"/>
        <w:snapToGrid w:val="0"/>
        <w:spacing w:line="240" w:lineRule="atLeast"/>
        <w:rPr>
          <w:rFonts w:hint="eastAsia" w:hAnsi="宋体" w:cs="宋体"/>
          <w:b/>
          <w:sz w:val="32"/>
        </w:rPr>
        <w:sectPr>
          <w:headerReference r:id="rId3" w:type="default"/>
          <w:pgSz w:w="11905" w:h="16838"/>
          <w:pgMar w:top="1440" w:right="1417" w:bottom="1440" w:left="1417" w:header="1020" w:footer="567" w:gutter="0"/>
          <w:cols w:space="0" w:num="1"/>
          <w:docGrid w:type="lines" w:linePitch="317" w:charSpace="0"/>
        </w:sectPr>
      </w:pPr>
    </w:p>
    <w:p w14:paraId="738E71C2">
      <w:pPr>
        <w:widowControl w:val="0"/>
        <w:adjustRightInd w:val="0"/>
        <w:snapToGrid w:val="0"/>
        <w:spacing w:line="360" w:lineRule="auto"/>
        <w:jc w:val="center"/>
        <w:rPr>
          <w:rFonts w:hint="eastAsia" w:ascii="宋体" w:hAnsi="宋体" w:eastAsia="宋体" w:cs="宋体"/>
          <w:b/>
          <w:spacing w:val="160"/>
          <w:kern w:val="2"/>
          <w:sz w:val="36"/>
          <w:szCs w:val="36"/>
          <w:lang w:val="en-US" w:eastAsia="zh-CN" w:bidi="ar-SA"/>
        </w:rPr>
      </w:pPr>
      <w:r>
        <w:rPr>
          <w:rFonts w:hint="eastAsia" w:ascii="宋体" w:hAnsi="宋体" w:eastAsia="宋体" w:cs="宋体"/>
          <w:b/>
          <w:spacing w:val="160"/>
          <w:kern w:val="2"/>
          <w:sz w:val="36"/>
          <w:szCs w:val="36"/>
          <w:lang w:val="en-US" w:eastAsia="zh-CN" w:bidi="ar-SA"/>
        </w:rPr>
        <w:t>目录</w:t>
      </w:r>
    </w:p>
    <w:p w14:paraId="3AAF0707">
      <w:pPr>
        <w:widowControl w:val="0"/>
        <w:tabs>
          <w:tab w:val="right" w:leader="dot" w:pos="8731"/>
        </w:tabs>
        <w:spacing w:line="360" w:lineRule="auto"/>
        <w:jc w:val="both"/>
        <w:rPr>
          <w:rFonts w:hint="eastAsia" w:ascii="宋体" w:hAnsi="宋体" w:eastAsia="宋体" w:cs="Times New Roman"/>
          <w:b/>
          <w:kern w:val="2"/>
          <w:sz w:val="24"/>
          <w:szCs w:val="21"/>
          <w:lang w:val="en-US" w:eastAsia="zh-CN" w:bidi="ar-SA"/>
        </w:rPr>
      </w:pPr>
      <w:r>
        <w:rPr>
          <w:rFonts w:hint="eastAsia" w:ascii="Times New Roman" w:hAnsi="Times New Roman" w:eastAsia="宋体" w:cs="Times New Roman"/>
          <w:b w:val="0"/>
          <w:bCs/>
          <w:kern w:val="2"/>
          <w:sz w:val="21"/>
          <w:szCs w:val="24"/>
          <w:lang w:val="en-US" w:eastAsia="zh-CN" w:bidi="ar-SA"/>
        </w:rPr>
        <w:fldChar w:fldCharType="begin"/>
      </w:r>
      <w:r>
        <w:rPr>
          <w:rFonts w:hint="eastAsia" w:ascii="宋体" w:hAnsi="宋体" w:eastAsia="宋体" w:cs="宋体"/>
          <w:b w:val="0"/>
          <w:bCs/>
          <w:kern w:val="2"/>
          <w:sz w:val="21"/>
          <w:szCs w:val="24"/>
          <w:lang w:val="en-US" w:eastAsia="zh-CN" w:bidi="ar-SA"/>
        </w:rPr>
        <w:instrText xml:space="preserve"> TOC \o "1-4" \h \z \u </w:instrText>
      </w:r>
      <w:r>
        <w:rPr>
          <w:rFonts w:hint="eastAsia" w:ascii="Times New Roman" w:hAnsi="Times New Roman" w:eastAsia="宋体" w:cs="Times New Roman"/>
          <w:b w:val="0"/>
          <w:bCs/>
          <w:kern w:val="2"/>
          <w:sz w:val="21"/>
          <w:szCs w:val="24"/>
          <w:lang w:val="en-US" w:eastAsia="zh-CN" w:bidi="ar-SA"/>
        </w:rPr>
        <w:fldChar w:fldCharType="separate"/>
      </w:r>
      <w:r>
        <w:rPr>
          <w:rFonts w:ascii="宋体" w:hAnsi="宋体" w:eastAsia="宋体" w:cs="Times New Roman"/>
          <w:b/>
          <w:kern w:val="2"/>
          <w:sz w:val="24"/>
          <w:szCs w:val="21"/>
          <w:lang w:val="en-US" w:eastAsia="zh-CN" w:bidi="ar-SA"/>
        </w:rPr>
        <w:fldChar w:fldCharType="begin"/>
      </w:r>
      <w:r>
        <w:rPr>
          <w:rFonts w:ascii="宋体" w:hAnsi="宋体" w:eastAsia="宋体" w:cs="Times New Roman"/>
          <w:b/>
          <w:kern w:val="2"/>
          <w:sz w:val="24"/>
          <w:szCs w:val="21"/>
          <w:lang w:val="en-US" w:eastAsia="zh-CN" w:bidi="ar-SA"/>
        </w:rPr>
        <w:instrText xml:space="preserve"> HYPERLINK \l "_Toc6599" </w:instrText>
      </w:r>
      <w:r>
        <w:rPr>
          <w:rFonts w:ascii="宋体" w:hAnsi="宋体" w:eastAsia="宋体" w:cs="Times New Roman"/>
          <w:b/>
          <w:kern w:val="2"/>
          <w:sz w:val="24"/>
          <w:szCs w:val="21"/>
          <w:lang w:val="en-US" w:eastAsia="zh-CN" w:bidi="ar-SA"/>
        </w:rPr>
        <w:fldChar w:fldCharType="separate"/>
      </w:r>
      <w:r>
        <w:rPr>
          <w:rFonts w:hint="eastAsia" w:ascii="宋体" w:hAnsi="宋体" w:eastAsia="宋体" w:cs="宋体"/>
          <w:b/>
          <w:kern w:val="2"/>
          <w:sz w:val="24"/>
          <w:szCs w:val="32"/>
          <w:lang w:val="en-US" w:eastAsia="zh-CN" w:bidi="ar-SA"/>
        </w:rPr>
        <w:t>第一章 投标邀请</w:t>
      </w:r>
      <w:r>
        <w:rPr>
          <w:rFonts w:ascii="宋体" w:hAnsi="宋体" w:eastAsia="宋体" w:cs="Times New Roman"/>
          <w:b/>
          <w:kern w:val="2"/>
          <w:sz w:val="24"/>
          <w:szCs w:val="21"/>
          <w:lang w:val="en-US" w:eastAsia="zh-CN" w:bidi="ar-SA"/>
        </w:rPr>
        <w:tab/>
      </w:r>
      <w:r>
        <w:rPr>
          <w:rFonts w:ascii="宋体" w:hAnsi="宋体" w:eastAsia="宋体" w:cs="Times New Roman"/>
          <w:b/>
          <w:kern w:val="2"/>
          <w:sz w:val="24"/>
          <w:szCs w:val="21"/>
          <w:lang w:val="en-US" w:eastAsia="zh-CN" w:bidi="ar-SA"/>
        </w:rPr>
        <w:fldChar w:fldCharType="begin"/>
      </w:r>
      <w:r>
        <w:rPr>
          <w:rFonts w:ascii="宋体" w:hAnsi="宋体" w:eastAsia="宋体" w:cs="Times New Roman"/>
          <w:b/>
          <w:kern w:val="2"/>
          <w:sz w:val="24"/>
          <w:szCs w:val="21"/>
          <w:lang w:val="en-US" w:eastAsia="zh-CN" w:bidi="ar-SA"/>
        </w:rPr>
        <w:instrText xml:space="preserve"> PAGEREF _Toc6599 \h </w:instrText>
      </w:r>
      <w:r>
        <w:rPr>
          <w:rFonts w:ascii="宋体" w:hAnsi="宋体" w:eastAsia="宋体" w:cs="Times New Roman"/>
          <w:b/>
          <w:kern w:val="2"/>
          <w:sz w:val="24"/>
          <w:szCs w:val="21"/>
          <w:lang w:val="en-US" w:eastAsia="zh-CN" w:bidi="ar-SA"/>
        </w:rPr>
        <w:fldChar w:fldCharType="separate"/>
      </w:r>
      <w:r>
        <w:rPr>
          <w:rFonts w:ascii="宋体" w:hAnsi="宋体" w:eastAsia="宋体" w:cs="Times New Roman"/>
          <w:b/>
          <w:kern w:val="2"/>
          <w:sz w:val="24"/>
          <w:szCs w:val="21"/>
          <w:lang w:val="en-US" w:eastAsia="zh-CN" w:bidi="ar-SA"/>
        </w:rPr>
        <w:t>3</w:t>
      </w:r>
      <w:r>
        <w:rPr>
          <w:rFonts w:ascii="宋体" w:hAnsi="宋体" w:eastAsia="宋体" w:cs="Times New Roman"/>
          <w:b/>
          <w:kern w:val="2"/>
          <w:sz w:val="24"/>
          <w:szCs w:val="21"/>
          <w:lang w:val="en-US" w:eastAsia="zh-CN" w:bidi="ar-SA"/>
        </w:rPr>
        <w:fldChar w:fldCharType="end"/>
      </w:r>
      <w:r>
        <w:rPr>
          <w:rFonts w:ascii="宋体" w:hAnsi="宋体" w:eastAsia="宋体" w:cs="Times New Roman"/>
          <w:b/>
          <w:kern w:val="2"/>
          <w:sz w:val="24"/>
          <w:szCs w:val="21"/>
          <w:lang w:val="en-US" w:eastAsia="zh-CN" w:bidi="ar-SA"/>
        </w:rPr>
        <w:fldChar w:fldCharType="end"/>
      </w:r>
    </w:p>
    <w:p w14:paraId="67AD7294">
      <w:pPr>
        <w:widowControl w:val="0"/>
        <w:tabs>
          <w:tab w:val="right" w:leader="dot" w:pos="8731"/>
        </w:tabs>
        <w:spacing w:line="360" w:lineRule="auto"/>
        <w:jc w:val="both"/>
        <w:rPr>
          <w:rFonts w:hint="eastAsia" w:ascii="宋体" w:hAnsi="宋体" w:eastAsia="宋体" w:cs="Times New Roman"/>
          <w:b/>
          <w:kern w:val="2"/>
          <w:sz w:val="24"/>
          <w:szCs w:val="21"/>
          <w:lang w:val="en-US" w:eastAsia="zh-CN" w:bidi="ar-SA"/>
        </w:rPr>
      </w:pPr>
      <w:r>
        <w:rPr>
          <w:rFonts w:ascii="宋体" w:hAnsi="宋体" w:eastAsia="宋体" w:cs="Times New Roman"/>
          <w:b/>
          <w:kern w:val="2"/>
          <w:sz w:val="24"/>
          <w:szCs w:val="21"/>
          <w:lang w:val="en-US" w:eastAsia="zh-CN" w:bidi="ar-SA"/>
        </w:rPr>
        <w:fldChar w:fldCharType="begin"/>
      </w:r>
      <w:r>
        <w:rPr>
          <w:rFonts w:ascii="宋体" w:hAnsi="宋体" w:eastAsia="宋体" w:cs="Times New Roman"/>
          <w:b/>
          <w:kern w:val="2"/>
          <w:sz w:val="24"/>
          <w:szCs w:val="21"/>
          <w:lang w:val="en-US" w:eastAsia="zh-CN" w:bidi="ar-SA"/>
        </w:rPr>
        <w:instrText xml:space="preserve"> HYPERLINK \l "_Toc14812" </w:instrText>
      </w:r>
      <w:r>
        <w:rPr>
          <w:rFonts w:ascii="宋体" w:hAnsi="宋体" w:eastAsia="宋体" w:cs="Times New Roman"/>
          <w:b/>
          <w:kern w:val="2"/>
          <w:sz w:val="24"/>
          <w:szCs w:val="21"/>
          <w:lang w:val="en-US" w:eastAsia="zh-CN" w:bidi="ar-SA"/>
        </w:rPr>
        <w:fldChar w:fldCharType="separate"/>
      </w:r>
      <w:r>
        <w:rPr>
          <w:rFonts w:hint="eastAsia" w:ascii="宋体" w:hAnsi="宋体" w:eastAsia="宋体" w:cs="宋体"/>
          <w:b/>
          <w:kern w:val="2"/>
          <w:sz w:val="24"/>
          <w:szCs w:val="32"/>
          <w:lang w:val="en-US" w:eastAsia="zh-CN" w:bidi="ar-SA"/>
        </w:rPr>
        <w:t>第二章 投标须知</w:t>
      </w:r>
      <w:r>
        <w:rPr>
          <w:rFonts w:ascii="宋体" w:hAnsi="宋体" w:eastAsia="宋体" w:cs="Times New Roman"/>
          <w:b/>
          <w:kern w:val="2"/>
          <w:sz w:val="24"/>
          <w:szCs w:val="21"/>
          <w:lang w:val="en-US" w:eastAsia="zh-CN" w:bidi="ar-SA"/>
        </w:rPr>
        <w:tab/>
      </w:r>
      <w:r>
        <w:rPr>
          <w:rFonts w:ascii="宋体" w:hAnsi="宋体" w:eastAsia="宋体" w:cs="Times New Roman"/>
          <w:b/>
          <w:kern w:val="2"/>
          <w:sz w:val="24"/>
          <w:szCs w:val="21"/>
          <w:lang w:val="en-US" w:eastAsia="zh-CN" w:bidi="ar-SA"/>
        </w:rPr>
        <w:fldChar w:fldCharType="begin"/>
      </w:r>
      <w:r>
        <w:rPr>
          <w:rFonts w:ascii="宋体" w:hAnsi="宋体" w:eastAsia="宋体" w:cs="Times New Roman"/>
          <w:b/>
          <w:kern w:val="2"/>
          <w:sz w:val="24"/>
          <w:szCs w:val="21"/>
          <w:lang w:val="en-US" w:eastAsia="zh-CN" w:bidi="ar-SA"/>
        </w:rPr>
        <w:instrText xml:space="preserve"> PAGEREF _Toc14812 \h </w:instrText>
      </w:r>
      <w:r>
        <w:rPr>
          <w:rFonts w:ascii="宋体" w:hAnsi="宋体" w:eastAsia="宋体" w:cs="Times New Roman"/>
          <w:b/>
          <w:kern w:val="2"/>
          <w:sz w:val="24"/>
          <w:szCs w:val="21"/>
          <w:lang w:val="en-US" w:eastAsia="zh-CN" w:bidi="ar-SA"/>
        </w:rPr>
        <w:fldChar w:fldCharType="separate"/>
      </w:r>
      <w:r>
        <w:rPr>
          <w:rFonts w:ascii="宋体" w:hAnsi="宋体" w:eastAsia="宋体" w:cs="Times New Roman"/>
          <w:b/>
          <w:kern w:val="2"/>
          <w:sz w:val="24"/>
          <w:szCs w:val="21"/>
          <w:lang w:val="en-US" w:eastAsia="zh-CN" w:bidi="ar-SA"/>
        </w:rPr>
        <w:t>7</w:t>
      </w:r>
      <w:r>
        <w:rPr>
          <w:rFonts w:ascii="宋体" w:hAnsi="宋体" w:eastAsia="宋体" w:cs="Times New Roman"/>
          <w:b/>
          <w:kern w:val="2"/>
          <w:sz w:val="24"/>
          <w:szCs w:val="21"/>
          <w:lang w:val="en-US" w:eastAsia="zh-CN" w:bidi="ar-SA"/>
        </w:rPr>
        <w:fldChar w:fldCharType="end"/>
      </w:r>
      <w:r>
        <w:rPr>
          <w:rFonts w:ascii="宋体" w:hAnsi="宋体" w:eastAsia="宋体" w:cs="Times New Roman"/>
          <w:b/>
          <w:kern w:val="2"/>
          <w:sz w:val="24"/>
          <w:szCs w:val="21"/>
          <w:lang w:val="en-US" w:eastAsia="zh-CN" w:bidi="ar-SA"/>
        </w:rPr>
        <w:fldChar w:fldCharType="end"/>
      </w:r>
    </w:p>
    <w:p w14:paraId="04118C35">
      <w:pPr>
        <w:widowControl w:val="0"/>
        <w:tabs>
          <w:tab w:val="right" w:leader="dot" w:pos="8731"/>
        </w:tabs>
        <w:spacing w:line="360" w:lineRule="auto"/>
        <w:ind w:left="420" w:leftChars="2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"_Toc13073"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8"/>
          <w:lang w:val="en-US" w:eastAsia="zh-CN" w:bidi="ar-SA"/>
        </w:rPr>
        <w:t>第一节 投标须知前附表</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_Toc13073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7</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303C8B12">
      <w:pPr>
        <w:widowControl w:val="0"/>
        <w:tabs>
          <w:tab w:val="right" w:leader="dot" w:pos="8731"/>
        </w:tabs>
        <w:spacing w:line="360" w:lineRule="auto"/>
        <w:ind w:left="420" w:leftChars="2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"_Toc2180"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8"/>
          <w:lang w:val="en-US" w:eastAsia="zh-CN" w:bidi="ar-SA"/>
        </w:rPr>
        <w:t>第二节 投标须知</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_Toc2180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13</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1DB005C3">
      <w:pPr>
        <w:widowControl w:val="0"/>
        <w:tabs>
          <w:tab w:val="right" w:leader="dot" w:pos="8731"/>
        </w:tabs>
        <w:adjustRightInd w:val="0"/>
        <w:snapToGrid w:val="0"/>
        <w:spacing w:line="360" w:lineRule="auto"/>
        <w:ind w:left="840" w:leftChars="4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"_Toc7332"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8"/>
          <w:lang w:val="en-US" w:eastAsia="zh-CN" w:bidi="ar-SA"/>
        </w:rPr>
        <w:t>一、总则</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_Toc7332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13</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04D9C39D">
      <w:pPr>
        <w:widowControl w:val="0"/>
        <w:tabs>
          <w:tab w:val="right" w:leader="dot" w:pos="8731"/>
        </w:tabs>
        <w:adjustRightInd w:val="0"/>
        <w:snapToGrid w:val="0"/>
        <w:spacing w:line="360" w:lineRule="auto"/>
        <w:ind w:left="840" w:leftChars="4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"_Toc23498"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8"/>
          <w:lang w:val="en-US" w:eastAsia="zh-CN" w:bidi="ar-SA"/>
        </w:rPr>
        <w:t>二、招标文件</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_Toc23498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14</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3132133C">
      <w:pPr>
        <w:widowControl w:val="0"/>
        <w:tabs>
          <w:tab w:val="right" w:leader="dot" w:pos="8731"/>
        </w:tabs>
        <w:adjustRightInd w:val="0"/>
        <w:snapToGrid w:val="0"/>
        <w:spacing w:line="360" w:lineRule="auto"/>
        <w:ind w:left="840" w:leftChars="4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"_Toc16636"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8"/>
          <w:lang w:val="en-US" w:eastAsia="zh-CN" w:bidi="ar-SA"/>
        </w:rPr>
        <w:t>三、投标文件</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_Toc16636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15</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6918BD49">
      <w:pPr>
        <w:widowControl w:val="0"/>
        <w:tabs>
          <w:tab w:val="right" w:leader="dot" w:pos="8731"/>
        </w:tabs>
        <w:adjustRightInd w:val="0"/>
        <w:snapToGrid w:val="0"/>
        <w:spacing w:line="360" w:lineRule="auto"/>
        <w:ind w:left="840" w:leftChars="4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"_Toc10725"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8"/>
          <w:lang w:val="en-US" w:eastAsia="zh-CN" w:bidi="ar-SA"/>
        </w:rPr>
        <w:t>四、投标</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_Toc10725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19</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75228736">
      <w:pPr>
        <w:widowControl w:val="0"/>
        <w:tabs>
          <w:tab w:val="right" w:leader="dot" w:pos="8731"/>
        </w:tabs>
        <w:adjustRightInd w:val="0"/>
        <w:snapToGrid w:val="0"/>
        <w:spacing w:line="360" w:lineRule="auto"/>
        <w:ind w:left="840" w:leftChars="4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"_Toc25691"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8"/>
          <w:lang w:val="en-US" w:eastAsia="zh-CN" w:bidi="ar-SA"/>
        </w:rPr>
        <w:t>五、开标，资格审查和评标</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_Toc25691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21</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48AA1FD2">
      <w:pPr>
        <w:widowControl w:val="0"/>
        <w:tabs>
          <w:tab w:val="right" w:leader="dot" w:pos="8731"/>
        </w:tabs>
        <w:adjustRightInd w:val="0"/>
        <w:snapToGrid w:val="0"/>
        <w:spacing w:line="360" w:lineRule="auto"/>
        <w:ind w:left="840" w:leftChars="4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"_Toc22872"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8"/>
          <w:lang w:val="en-US" w:eastAsia="zh-CN" w:bidi="ar-SA"/>
        </w:rPr>
        <w:t>六、中标信息公布</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_Toc22872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21</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4193A936">
      <w:pPr>
        <w:widowControl w:val="0"/>
        <w:tabs>
          <w:tab w:val="right" w:leader="dot" w:pos="8731"/>
        </w:tabs>
        <w:adjustRightInd w:val="0"/>
        <w:snapToGrid w:val="0"/>
        <w:spacing w:line="360" w:lineRule="auto"/>
        <w:ind w:left="840" w:leftChars="4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"_Toc16755"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8"/>
          <w:lang w:val="en-US" w:eastAsia="zh-CN" w:bidi="ar-SA"/>
        </w:rPr>
        <w:t>七、合同签订</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_Toc16755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24</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58CF4200">
      <w:pPr>
        <w:widowControl w:val="0"/>
        <w:tabs>
          <w:tab w:val="right" w:leader="dot" w:pos="8731"/>
        </w:tabs>
        <w:adjustRightInd w:val="0"/>
        <w:snapToGrid w:val="0"/>
        <w:spacing w:line="360" w:lineRule="auto"/>
        <w:ind w:left="840" w:leftChars="4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"_Toc22364"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8"/>
          <w:lang w:val="en-US" w:eastAsia="zh-CN" w:bidi="ar-SA"/>
        </w:rPr>
        <w:t>八、政府采购政策</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_Toc22364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25</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2223DB7C">
      <w:pPr>
        <w:widowControl w:val="0"/>
        <w:tabs>
          <w:tab w:val="right" w:leader="dot" w:pos="8731"/>
        </w:tabs>
        <w:adjustRightInd w:val="0"/>
        <w:snapToGrid w:val="0"/>
        <w:spacing w:line="360" w:lineRule="auto"/>
        <w:ind w:left="840" w:leftChars="4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"_Toc165"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8"/>
          <w:lang w:val="en-US" w:eastAsia="zh-CN" w:bidi="ar-SA"/>
        </w:rPr>
        <w:t>九、其他规定</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_Toc165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27</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54A7E396">
      <w:pPr>
        <w:widowControl w:val="0"/>
        <w:tabs>
          <w:tab w:val="right" w:leader="dot" w:pos="8731"/>
        </w:tabs>
        <w:spacing w:line="360" w:lineRule="auto"/>
        <w:jc w:val="both"/>
        <w:rPr>
          <w:rFonts w:hint="eastAsia" w:ascii="宋体" w:hAnsi="宋体" w:eastAsia="宋体" w:cs="Times New Roman"/>
          <w:b/>
          <w:kern w:val="2"/>
          <w:sz w:val="24"/>
          <w:szCs w:val="21"/>
          <w:lang w:val="en-US" w:eastAsia="zh-CN" w:bidi="ar-SA"/>
        </w:rPr>
      </w:pPr>
      <w:r>
        <w:rPr>
          <w:rFonts w:ascii="宋体" w:hAnsi="宋体" w:eastAsia="宋体" w:cs="Times New Roman"/>
          <w:b/>
          <w:kern w:val="2"/>
          <w:sz w:val="24"/>
          <w:szCs w:val="21"/>
          <w:lang w:val="en-US" w:eastAsia="zh-CN" w:bidi="ar-SA"/>
        </w:rPr>
        <w:fldChar w:fldCharType="begin"/>
      </w:r>
      <w:r>
        <w:rPr>
          <w:rFonts w:ascii="宋体" w:hAnsi="宋体" w:eastAsia="宋体" w:cs="Times New Roman"/>
          <w:b/>
          <w:kern w:val="2"/>
          <w:sz w:val="24"/>
          <w:szCs w:val="21"/>
          <w:lang w:val="en-US" w:eastAsia="zh-CN" w:bidi="ar-SA"/>
        </w:rPr>
        <w:instrText xml:space="preserve"> HYPERLINK \l "_Toc688" </w:instrText>
      </w:r>
      <w:r>
        <w:rPr>
          <w:rFonts w:ascii="宋体" w:hAnsi="宋体" w:eastAsia="宋体" w:cs="Times New Roman"/>
          <w:b/>
          <w:kern w:val="2"/>
          <w:sz w:val="24"/>
          <w:szCs w:val="21"/>
          <w:lang w:val="en-US" w:eastAsia="zh-CN" w:bidi="ar-SA"/>
        </w:rPr>
        <w:fldChar w:fldCharType="separate"/>
      </w:r>
      <w:r>
        <w:rPr>
          <w:rFonts w:hint="eastAsia" w:ascii="宋体" w:hAnsi="宋体" w:eastAsia="宋体" w:cs="宋体"/>
          <w:b/>
          <w:kern w:val="2"/>
          <w:sz w:val="24"/>
          <w:szCs w:val="32"/>
          <w:lang w:val="en-US" w:eastAsia="zh-CN" w:bidi="ar-SA"/>
        </w:rPr>
        <w:t>第三章 资格审查</w:t>
      </w:r>
      <w:r>
        <w:rPr>
          <w:rFonts w:ascii="宋体" w:hAnsi="宋体" w:eastAsia="宋体" w:cs="Times New Roman"/>
          <w:b/>
          <w:kern w:val="2"/>
          <w:sz w:val="24"/>
          <w:szCs w:val="21"/>
          <w:lang w:val="en-US" w:eastAsia="zh-CN" w:bidi="ar-SA"/>
        </w:rPr>
        <w:tab/>
      </w:r>
      <w:r>
        <w:rPr>
          <w:rFonts w:ascii="宋体" w:hAnsi="宋体" w:eastAsia="宋体" w:cs="Times New Roman"/>
          <w:b/>
          <w:kern w:val="2"/>
          <w:sz w:val="24"/>
          <w:szCs w:val="21"/>
          <w:lang w:val="en-US" w:eastAsia="zh-CN" w:bidi="ar-SA"/>
        </w:rPr>
        <w:fldChar w:fldCharType="begin"/>
      </w:r>
      <w:r>
        <w:rPr>
          <w:rFonts w:ascii="宋体" w:hAnsi="宋体" w:eastAsia="宋体" w:cs="Times New Roman"/>
          <w:b/>
          <w:kern w:val="2"/>
          <w:sz w:val="24"/>
          <w:szCs w:val="21"/>
          <w:lang w:val="en-US" w:eastAsia="zh-CN" w:bidi="ar-SA"/>
        </w:rPr>
        <w:instrText xml:space="preserve"> PAGEREF _Toc688 \h </w:instrText>
      </w:r>
      <w:r>
        <w:rPr>
          <w:rFonts w:ascii="宋体" w:hAnsi="宋体" w:eastAsia="宋体" w:cs="Times New Roman"/>
          <w:b/>
          <w:kern w:val="2"/>
          <w:sz w:val="24"/>
          <w:szCs w:val="21"/>
          <w:lang w:val="en-US" w:eastAsia="zh-CN" w:bidi="ar-SA"/>
        </w:rPr>
        <w:fldChar w:fldCharType="separate"/>
      </w:r>
      <w:r>
        <w:rPr>
          <w:rFonts w:ascii="宋体" w:hAnsi="宋体" w:eastAsia="宋体" w:cs="Times New Roman"/>
          <w:b/>
          <w:kern w:val="2"/>
          <w:sz w:val="24"/>
          <w:szCs w:val="21"/>
          <w:lang w:val="en-US" w:eastAsia="zh-CN" w:bidi="ar-SA"/>
        </w:rPr>
        <w:t>29</w:t>
      </w:r>
      <w:r>
        <w:rPr>
          <w:rFonts w:ascii="宋体" w:hAnsi="宋体" w:eastAsia="宋体" w:cs="Times New Roman"/>
          <w:b/>
          <w:kern w:val="2"/>
          <w:sz w:val="24"/>
          <w:szCs w:val="21"/>
          <w:lang w:val="en-US" w:eastAsia="zh-CN" w:bidi="ar-SA"/>
        </w:rPr>
        <w:fldChar w:fldCharType="end"/>
      </w:r>
      <w:r>
        <w:rPr>
          <w:rFonts w:ascii="宋体" w:hAnsi="宋体" w:eastAsia="宋体" w:cs="Times New Roman"/>
          <w:b/>
          <w:kern w:val="2"/>
          <w:sz w:val="24"/>
          <w:szCs w:val="21"/>
          <w:lang w:val="en-US" w:eastAsia="zh-CN" w:bidi="ar-SA"/>
        </w:rPr>
        <w:fldChar w:fldCharType="end"/>
      </w:r>
    </w:p>
    <w:p w14:paraId="47D2CC88">
      <w:pPr>
        <w:widowControl w:val="0"/>
        <w:tabs>
          <w:tab w:val="right" w:leader="dot" w:pos="8731"/>
        </w:tabs>
        <w:adjustRightInd w:val="0"/>
        <w:snapToGrid w:val="0"/>
        <w:spacing w:line="360" w:lineRule="auto"/>
        <w:ind w:left="840" w:leftChars="4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"_Toc1546"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4"/>
          <w:lang w:val="en-US" w:eastAsia="zh-CN" w:bidi="ar-SA"/>
        </w:rPr>
        <w:t>1．资格审查主体</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_Toc1546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32</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7CFD4B7A">
      <w:pPr>
        <w:widowControl w:val="0"/>
        <w:tabs>
          <w:tab w:val="right" w:leader="dot" w:pos="8731"/>
        </w:tabs>
        <w:adjustRightInd w:val="0"/>
        <w:snapToGrid w:val="0"/>
        <w:spacing w:line="360" w:lineRule="auto"/>
        <w:ind w:left="840" w:leftChars="4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"_Toc5628"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4"/>
          <w:lang w:val="en-US" w:eastAsia="zh-CN" w:bidi="ar-SA"/>
        </w:rPr>
        <w:t>2．资格审查</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_Toc5628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32</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1C4591DD">
      <w:pPr>
        <w:widowControl w:val="0"/>
        <w:tabs>
          <w:tab w:val="right" w:leader="dot" w:pos="8731"/>
        </w:tabs>
        <w:adjustRightInd w:val="0"/>
        <w:snapToGrid w:val="0"/>
        <w:spacing w:line="360" w:lineRule="auto"/>
        <w:ind w:left="840" w:leftChars="4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"_Toc13527"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4"/>
          <w:lang w:val="en-US" w:eastAsia="zh-CN" w:bidi="ar-SA"/>
        </w:rPr>
        <w:t>3．资格审查结果</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_Toc13527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33</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33F99F95">
      <w:pPr>
        <w:widowControl w:val="0"/>
        <w:tabs>
          <w:tab w:val="right" w:leader="dot" w:pos="8731"/>
        </w:tabs>
        <w:spacing w:line="360" w:lineRule="auto"/>
        <w:jc w:val="both"/>
        <w:rPr>
          <w:rFonts w:hint="eastAsia" w:ascii="宋体" w:hAnsi="宋体" w:eastAsia="宋体" w:cs="Times New Roman"/>
          <w:b/>
          <w:kern w:val="2"/>
          <w:sz w:val="24"/>
          <w:szCs w:val="21"/>
          <w:lang w:val="en-US" w:eastAsia="zh-CN" w:bidi="ar-SA"/>
        </w:rPr>
      </w:pPr>
      <w:r>
        <w:rPr>
          <w:rFonts w:ascii="宋体" w:hAnsi="宋体" w:eastAsia="宋体" w:cs="Times New Roman"/>
          <w:b/>
          <w:kern w:val="2"/>
          <w:sz w:val="24"/>
          <w:szCs w:val="21"/>
          <w:lang w:val="en-US" w:eastAsia="zh-CN" w:bidi="ar-SA"/>
        </w:rPr>
        <w:fldChar w:fldCharType="begin"/>
      </w:r>
      <w:r>
        <w:rPr>
          <w:rFonts w:ascii="宋体" w:hAnsi="宋体" w:eastAsia="宋体" w:cs="Times New Roman"/>
          <w:b/>
          <w:kern w:val="2"/>
          <w:sz w:val="24"/>
          <w:szCs w:val="21"/>
          <w:lang w:val="en-US" w:eastAsia="zh-CN" w:bidi="ar-SA"/>
        </w:rPr>
        <w:instrText xml:space="preserve"> HYPERLINK \l "_Toc20416" </w:instrText>
      </w:r>
      <w:r>
        <w:rPr>
          <w:rFonts w:ascii="宋体" w:hAnsi="宋体" w:eastAsia="宋体" w:cs="Times New Roman"/>
          <w:b/>
          <w:kern w:val="2"/>
          <w:sz w:val="24"/>
          <w:szCs w:val="21"/>
          <w:lang w:val="en-US" w:eastAsia="zh-CN" w:bidi="ar-SA"/>
        </w:rPr>
        <w:fldChar w:fldCharType="separate"/>
      </w:r>
      <w:r>
        <w:rPr>
          <w:rFonts w:hint="eastAsia" w:ascii="宋体" w:hAnsi="宋体" w:eastAsia="宋体" w:cs="宋体"/>
          <w:b/>
          <w:kern w:val="2"/>
          <w:sz w:val="24"/>
          <w:szCs w:val="32"/>
          <w:lang w:val="en-US" w:eastAsia="zh-CN" w:bidi="ar-SA"/>
        </w:rPr>
        <w:t>第四章 评标方法及标准</w:t>
      </w:r>
      <w:r>
        <w:rPr>
          <w:rFonts w:ascii="宋体" w:hAnsi="宋体" w:eastAsia="宋体" w:cs="Times New Roman"/>
          <w:b/>
          <w:kern w:val="2"/>
          <w:sz w:val="24"/>
          <w:szCs w:val="21"/>
          <w:lang w:val="en-US" w:eastAsia="zh-CN" w:bidi="ar-SA"/>
        </w:rPr>
        <w:tab/>
      </w:r>
      <w:r>
        <w:rPr>
          <w:rFonts w:ascii="宋体" w:hAnsi="宋体" w:eastAsia="宋体" w:cs="Times New Roman"/>
          <w:b/>
          <w:kern w:val="2"/>
          <w:sz w:val="24"/>
          <w:szCs w:val="21"/>
          <w:lang w:val="en-US" w:eastAsia="zh-CN" w:bidi="ar-SA"/>
        </w:rPr>
        <w:fldChar w:fldCharType="begin"/>
      </w:r>
      <w:r>
        <w:rPr>
          <w:rFonts w:ascii="宋体" w:hAnsi="宋体" w:eastAsia="宋体" w:cs="Times New Roman"/>
          <w:b/>
          <w:kern w:val="2"/>
          <w:sz w:val="24"/>
          <w:szCs w:val="21"/>
          <w:lang w:val="en-US" w:eastAsia="zh-CN" w:bidi="ar-SA"/>
        </w:rPr>
        <w:instrText xml:space="preserve"> PAGEREF _Toc20416 \h </w:instrText>
      </w:r>
      <w:r>
        <w:rPr>
          <w:rFonts w:ascii="宋体" w:hAnsi="宋体" w:eastAsia="宋体" w:cs="Times New Roman"/>
          <w:b/>
          <w:kern w:val="2"/>
          <w:sz w:val="24"/>
          <w:szCs w:val="21"/>
          <w:lang w:val="en-US" w:eastAsia="zh-CN" w:bidi="ar-SA"/>
        </w:rPr>
        <w:fldChar w:fldCharType="separate"/>
      </w:r>
      <w:r>
        <w:rPr>
          <w:rFonts w:ascii="宋体" w:hAnsi="宋体" w:eastAsia="宋体" w:cs="Times New Roman"/>
          <w:b/>
          <w:kern w:val="2"/>
          <w:sz w:val="24"/>
          <w:szCs w:val="21"/>
          <w:lang w:val="en-US" w:eastAsia="zh-CN" w:bidi="ar-SA"/>
        </w:rPr>
        <w:t>37</w:t>
      </w:r>
      <w:r>
        <w:rPr>
          <w:rFonts w:ascii="宋体" w:hAnsi="宋体" w:eastAsia="宋体" w:cs="Times New Roman"/>
          <w:b/>
          <w:kern w:val="2"/>
          <w:sz w:val="24"/>
          <w:szCs w:val="21"/>
          <w:lang w:val="en-US" w:eastAsia="zh-CN" w:bidi="ar-SA"/>
        </w:rPr>
        <w:fldChar w:fldCharType="end"/>
      </w:r>
      <w:r>
        <w:rPr>
          <w:rFonts w:ascii="宋体" w:hAnsi="宋体" w:eastAsia="宋体" w:cs="Times New Roman"/>
          <w:b/>
          <w:kern w:val="2"/>
          <w:sz w:val="24"/>
          <w:szCs w:val="21"/>
          <w:lang w:val="en-US" w:eastAsia="zh-CN" w:bidi="ar-SA"/>
        </w:rPr>
        <w:fldChar w:fldCharType="end"/>
      </w:r>
    </w:p>
    <w:p w14:paraId="0A6BD7DF">
      <w:pPr>
        <w:widowControl w:val="0"/>
        <w:tabs>
          <w:tab w:val="right" w:leader="dot" w:pos="8731"/>
        </w:tabs>
        <w:spacing w:line="360" w:lineRule="auto"/>
        <w:ind w:left="420" w:leftChars="2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"_Toc18381"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8"/>
          <w:lang w:val="en-US" w:eastAsia="zh-CN" w:bidi="ar-SA"/>
        </w:rPr>
        <w:t>第一节 评标方法及标准前附表</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_Toc18381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37</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66453716">
      <w:pPr>
        <w:widowControl w:val="0"/>
        <w:tabs>
          <w:tab w:val="right" w:leader="dot" w:pos="8731"/>
        </w:tabs>
        <w:spacing w:line="360" w:lineRule="auto"/>
        <w:ind w:left="420" w:leftChars="2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"_Toc3671"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8"/>
          <w:lang w:val="en-US" w:eastAsia="zh-CN" w:bidi="ar-SA"/>
        </w:rPr>
        <w:t>第二节 评标方法及标准</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_Toc3671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41</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085F4639">
      <w:pPr>
        <w:widowControl w:val="0"/>
        <w:tabs>
          <w:tab w:val="right" w:leader="dot" w:pos="8731"/>
        </w:tabs>
        <w:adjustRightInd w:val="0"/>
        <w:snapToGrid w:val="0"/>
        <w:spacing w:line="360" w:lineRule="auto"/>
        <w:ind w:left="840" w:leftChars="4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"_Toc26971"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4"/>
          <w:lang w:val="en-US" w:eastAsia="zh-CN" w:bidi="ar-SA"/>
        </w:rPr>
        <w:t>1．评标方法</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_Toc26971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41</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4A15BC84">
      <w:pPr>
        <w:widowControl w:val="0"/>
        <w:tabs>
          <w:tab w:val="right" w:leader="dot" w:pos="8731"/>
        </w:tabs>
        <w:adjustRightInd w:val="0"/>
        <w:snapToGrid w:val="0"/>
        <w:spacing w:line="360" w:lineRule="auto"/>
        <w:ind w:left="840" w:leftChars="4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"_Toc23638"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4"/>
          <w:lang w:val="en-US" w:eastAsia="zh-CN" w:bidi="ar-SA"/>
        </w:rPr>
        <w:t>2．评标程序</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_Toc23638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41</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3EEDFC8E">
      <w:pPr>
        <w:widowControl w:val="0"/>
        <w:tabs>
          <w:tab w:val="right" w:leader="dot" w:pos="8731"/>
        </w:tabs>
        <w:adjustRightInd w:val="0"/>
        <w:snapToGrid w:val="0"/>
        <w:spacing w:line="360" w:lineRule="auto"/>
        <w:ind w:left="840" w:leftChars="4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"_Toc1922"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4"/>
          <w:lang w:val="en-US" w:eastAsia="zh-CN" w:bidi="ar-SA"/>
        </w:rPr>
        <w:t>3．投标文件的符合性审查</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_Toc1922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41</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4AFE9CF1">
      <w:pPr>
        <w:widowControl w:val="0"/>
        <w:tabs>
          <w:tab w:val="right" w:leader="dot" w:pos="8731"/>
        </w:tabs>
        <w:adjustRightInd w:val="0"/>
        <w:snapToGrid w:val="0"/>
        <w:spacing w:line="360" w:lineRule="auto"/>
        <w:ind w:left="840" w:leftChars="4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"_Toc2325"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4"/>
          <w:lang w:val="en-US" w:eastAsia="zh-CN" w:bidi="ar-SA"/>
        </w:rPr>
        <w:t>4．投标文件的澄清</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_Toc2325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41</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24D79CB9">
      <w:pPr>
        <w:widowControl w:val="0"/>
        <w:tabs>
          <w:tab w:val="right" w:leader="dot" w:pos="8731"/>
        </w:tabs>
        <w:adjustRightInd w:val="0"/>
        <w:snapToGrid w:val="0"/>
        <w:spacing w:line="360" w:lineRule="auto"/>
        <w:ind w:left="840" w:leftChars="4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"_Toc3267"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4"/>
          <w:lang w:val="en-US" w:eastAsia="zh-CN" w:bidi="ar-SA"/>
        </w:rPr>
        <w:t>5．投标文件的比较与评价</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_Toc3267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43</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7EA43082">
      <w:pPr>
        <w:widowControl w:val="0"/>
        <w:tabs>
          <w:tab w:val="right" w:leader="dot" w:pos="8731"/>
        </w:tabs>
        <w:adjustRightInd w:val="0"/>
        <w:snapToGrid w:val="0"/>
        <w:spacing w:line="360" w:lineRule="auto"/>
        <w:ind w:left="840" w:leftChars="4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"_Toc29558"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4"/>
          <w:lang w:val="en-US" w:eastAsia="zh-CN" w:bidi="ar-SA"/>
        </w:rPr>
        <w:t>6．推荐中标候选人</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_Toc29558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43</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7BE5DA1E">
      <w:pPr>
        <w:widowControl w:val="0"/>
        <w:tabs>
          <w:tab w:val="right" w:leader="dot" w:pos="8731"/>
        </w:tabs>
        <w:adjustRightInd w:val="0"/>
        <w:snapToGrid w:val="0"/>
        <w:spacing w:line="360" w:lineRule="auto"/>
        <w:ind w:left="840" w:leftChars="4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"_Toc2387"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4"/>
          <w:lang w:val="en-US" w:eastAsia="zh-CN" w:bidi="ar-SA"/>
        </w:rPr>
        <w:t>7．编写评标报告</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_Toc2387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43</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3BEDAA82">
      <w:pPr>
        <w:widowControl w:val="0"/>
        <w:tabs>
          <w:tab w:val="right" w:leader="dot" w:pos="8731"/>
        </w:tabs>
        <w:adjustRightInd w:val="0"/>
        <w:snapToGrid w:val="0"/>
        <w:spacing w:line="360" w:lineRule="auto"/>
        <w:ind w:left="840" w:leftChars="4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"_Toc19531"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4"/>
          <w:lang w:val="en-US" w:eastAsia="zh-CN" w:bidi="ar-SA"/>
        </w:rPr>
        <w:t>8．评标报告复核</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_Toc19531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44</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27B30F93">
      <w:pPr>
        <w:widowControl w:val="0"/>
        <w:tabs>
          <w:tab w:val="right" w:leader="dot" w:pos="8731"/>
        </w:tabs>
        <w:adjustRightInd w:val="0"/>
        <w:snapToGrid w:val="0"/>
        <w:spacing w:line="360" w:lineRule="auto"/>
        <w:ind w:left="840" w:leftChars="4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"_Toc3690"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4"/>
          <w:lang w:val="en-US" w:eastAsia="zh-CN" w:bidi="ar-SA"/>
        </w:rPr>
        <w:t>9．停止评标</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_Toc3690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44</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1B6945C8">
      <w:pPr>
        <w:widowControl w:val="0"/>
        <w:tabs>
          <w:tab w:val="right" w:leader="dot" w:pos="8731"/>
        </w:tabs>
        <w:adjustRightInd w:val="0"/>
        <w:snapToGrid w:val="0"/>
        <w:spacing w:line="360" w:lineRule="auto"/>
        <w:ind w:left="840" w:leftChars="4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"_Toc7406"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0"/>
          <w:sz w:val="21"/>
          <w:szCs w:val="24"/>
          <w:lang w:val="en-US" w:eastAsia="zh-CN" w:bidi="ar-SA"/>
        </w:rPr>
        <w:t>11．重新组建评标委员会进行评标</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_Toc7406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45</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30A6D928">
      <w:pPr>
        <w:widowControl w:val="0"/>
        <w:tabs>
          <w:tab w:val="right" w:leader="dot" w:pos="8731"/>
        </w:tabs>
        <w:spacing w:line="360" w:lineRule="auto"/>
        <w:ind w:left="420" w:leftChars="2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"_Toc20717"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8"/>
          <w:lang w:val="en-US" w:eastAsia="zh-CN" w:bidi="ar-SA"/>
        </w:rPr>
        <w:t>第三节 投标文件的符合性审查</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_Toc20717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46</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0BE5A2A9">
      <w:pPr>
        <w:widowControl w:val="0"/>
        <w:tabs>
          <w:tab w:val="right" w:leader="dot" w:pos="8731"/>
        </w:tabs>
        <w:spacing w:line="360" w:lineRule="auto"/>
        <w:ind w:left="420" w:leftChars="2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"_Toc18545"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28"/>
          <w:lang w:val="en-US" w:eastAsia="zh-CN" w:bidi="ar-SA"/>
        </w:rPr>
        <w:t>第四节 投标文件的比较与评价（综合评分法）</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_Toc18545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50</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039DD9AE">
      <w:pPr>
        <w:widowControl w:val="0"/>
        <w:tabs>
          <w:tab w:val="right" w:leader="dot" w:pos="8731"/>
        </w:tabs>
        <w:spacing w:line="360" w:lineRule="auto"/>
        <w:jc w:val="both"/>
        <w:rPr>
          <w:rFonts w:hint="eastAsia" w:ascii="宋体" w:hAnsi="宋体" w:eastAsia="宋体" w:cs="Times New Roman"/>
          <w:b/>
          <w:kern w:val="2"/>
          <w:sz w:val="24"/>
          <w:szCs w:val="21"/>
          <w:lang w:val="en-US" w:eastAsia="zh-CN" w:bidi="ar-SA"/>
        </w:rPr>
      </w:pPr>
      <w:r>
        <w:rPr>
          <w:rFonts w:ascii="宋体" w:hAnsi="宋体" w:eastAsia="宋体" w:cs="Times New Roman"/>
          <w:b/>
          <w:kern w:val="2"/>
          <w:sz w:val="24"/>
          <w:szCs w:val="21"/>
          <w:lang w:val="en-US" w:eastAsia="zh-CN" w:bidi="ar-SA"/>
        </w:rPr>
        <w:fldChar w:fldCharType="begin"/>
      </w:r>
      <w:r>
        <w:rPr>
          <w:rFonts w:ascii="宋体" w:hAnsi="宋体" w:eastAsia="宋体" w:cs="Times New Roman"/>
          <w:b/>
          <w:kern w:val="2"/>
          <w:sz w:val="24"/>
          <w:szCs w:val="21"/>
          <w:lang w:val="en-US" w:eastAsia="zh-CN" w:bidi="ar-SA"/>
        </w:rPr>
        <w:instrText xml:space="preserve"> HYPERLINK \l "_Toc8556" </w:instrText>
      </w:r>
      <w:r>
        <w:rPr>
          <w:rFonts w:ascii="宋体" w:hAnsi="宋体" w:eastAsia="宋体" w:cs="Times New Roman"/>
          <w:b/>
          <w:kern w:val="2"/>
          <w:sz w:val="24"/>
          <w:szCs w:val="21"/>
          <w:lang w:val="en-US" w:eastAsia="zh-CN" w:bidi="ar-SA"/>
        </w:rPr>
        <w:fldChar w:fldCharType="separate"/>
      </w:r>
      <w:r>
        <w:rPr>
          <w:rFonts w:hint="eastAsia" w:ascii="宋体" w:hAnsi="宋体" w:eastAsia="宋体" w:cs="宋体"/>
          <w:b/>
          <w:kern w:val="2"/>
          <w:sz w:val="24"/>
          <w:szCs w:val="32"/>
          <w:lang w:val="en-US" w:eastAsia="zh-CN" w:bidi="ar-SA"/>
        </w:rPr>
        <w:t>第五章 采购需求</w:t>
      </w:r>
      <w:r>
        <w:rPr>
          <w:rFonts w:ascii="宋体" w:hAnsi="宋体" w:eastAsia="宋体" w:cs="Times New Roman"/>
          <w:b/>
          <w:kern w:val="2"/>
          <w:sz w:val="24"/>
          <w:szCs w:val="21"/>
          <w:lang w:val="en-US" w:eastAsia="zh-CN" w:bidi="ar-SA"/>
        </w:rPr>
        <w:tab/>
      </w:r>
      <w:r>
        <w:rPr>
          <w:rFonts w:ascii="宋体" w:hAnsi="宋体" w:eastAsia="宋体" w:cs="Times New Roman"/>
          <w:b/>
          <w:kern w:val="2"/>
          <w:sz w:val="24"/>
          <w:szCs w:val="21"/>
          <w:lang w:val="en-US" w:eastAsia="zh-CN" w:bidi="ar-SA"/>
        </w:rPr>
        <w:fldChar w:fldCharType="begin"/>
      </w:r>
      <w:r>
        <w:rPr>
          <w:rFonts w:ascii="宋体" w:hAnsi="宋体" w:eastAsia="宋体" w:cs="Times New Roman"/>
          <w:b/>
          <w:kern w:val="2"/>
          <w:sz w:val="24"/>
          <w:szCs w:val="21"/>
          <w:lang w:val="en-US" w:eastAsia="zh-CN" w:bidi="ar-SA"/>
        </w:rPr>
        <w:instrText xml:space="preserve"> PAGEREF _Toc8556 \h </w:instrText>
      </w:r>
      <w:r>
        <w:rPr>
          <w:rFonts w:ascii="宋体" w:hAnsi="宋体" w:eastAsia="宋体" w:cs="Times New Roman"/>
          <w:b/>
          <w:kern w:val="2"/>
          <w:sz w:val="24"/>
          <w:szCs w:val="21"/>
          <w:lang w:val="en-US" w:eastAsia="zh-CN" w:bidi="ar-SA"/>
        </w:rPr>
        <w:fldChar w:fldCharType="separate"/>
      </w:r>
      <w:r>
        <w:rPr>
          <w:rFonts w:ascii="宋体" w:hAnsi="宋体" w:eastAsia="宋体" w:cs="Times New Roman"/>
          <w:b/>
          <w:kern w:val="2"/>
          <w:sz w:val="24"/>
          <w:szCs w:val="21"/>
          <w:lang w:val="en-US" w:eastAsia="zh-CN" w:bidi="ar-SA"/>
        </w:rPr>
        <w:t>57</w:t>
      </w:r>
      <w:r>
        <w:rPr>
          <w:rFonts w:ascii="宋体" w:hAnsi="宋体" w:eastAsia="宋体" w:cs="Times New Roman"/>
          <w:b/>
          <w:kern w:val="2"/>
          <w:sz w:val="24"/>
          <w:szCs w:val="21"/>
          <w:lang w:val="en-US" w:eastAsia="zh-CN" w:bidi="ar-SA"/>
        </w:rPr>
        <w:fldChar w:fldCharType="end"/>
      </w:r>
      <w:r>
        <w:rPr>
          <w:rFonts w:ascii="宋体" w:hAnsi="宋体" w:eastAsia="宋体" w:cs="Times New Roman"/>
          <w:b/>
          <w:kern w:val="2"/>
          <w:sz w:val="24"/>
          <w:szCs w:val="21"/>
          <w:lang w:val="en-US" w:eastAsia="zh-CN" w:bidi="ar-SA"/>
        </w:rPr>
        <w:fldChar w:fldCharType="end"/>
      </w:r>
    </w:p>
    <w:p w14:paraId="59B4A919">
      <w:pPr>
        <w:widowControl w:val="0"/>
        <w:tabs>
          <w:tab w:val="right" w:leader="dot" w:pos="8731"/>
        </w:tabs>
        <w:spacing w:line="360" w:lineRule="auto"/>
        <w:jc w:val="both"/>
        <w:rPr>
          <w:rFonts w:hint="eastAsia" w:ascii="宋体" w:hAnsi="宋体" w:eastAsia="宋体" w:cs="Times New Roman"/>
          <w:b/>
          <w:kern w:val="2"/>
          <w:sz w:val="24"/>
          <w:szCs w:val="21"/>
          <w:lang w:val="en-US" w:eastAsia="zh-CN" w:bidi="ar-SA"/>
        </w:rPr>
      </w:pPr>
      <w:r>
        <w:rPr>
          <w:rFonts w:ascii="宋体" w:hAnsi="宋体" w:eastAsia="宋体" w:cs="Times New Roman"/>
          <w:b/>
          <w:kern w:val="2"/>
          <w:sz w:val="24"/>
          <w:szCs w:val="21"/>
          <w:lang w:val="en-US" w:eastAsia="zh-CN" w:bidi="ar-SA"/>
        </w:rPr>
        <w:fldChar w:fldCharType="begin"/>
      </w:r>
      <w:r>
        <w:rPr>
          <w:rFonts w:ascii="宋体" w:hAnsi="宋体" w:eastAsia="宋体" w:cs="Times New Roman"/>
          <w:b/>
          <w:kern w:val="2"/>
          <w:sz w:val="24"/>
          <w:szCs w:val="21"/>
          <w:lang w:val="en-US" w:eastAsia="zh-CN" w:bidi="ar-SA"/>
        </w:rPr>
        <w:instrText xml:space="preserve"> HYPERLINK \l "_Toc1585" </w:instrText>
      </w:r>
      <w:r>
        <w:rPr>
          <w:rFonts w:ascii="宋体" w:hAnsi="宋体" w:eastAsia="宋体" w:cs="Times New Roman"/>
          <w:b/>
          <w:kern w:val="2"/>
          <w:sz w:val="24"/>
          <w:szCs w:val="21"/>
          <w:lang w:val="en-US" w:eastAsia="zh-CN" w:bidi="ar-SA"/>
        </w:rPr>
        <w:fldChar w:fldCharType="separate"/>
      </w:r>
      <w:r>
        <w:rPr>
          <w:rFonts w:hint="eastAsia" w:ascii="宋体" w:hAnsi="宋体" w:eastAsia="宋体" w:cs="宋体"/>
          <w:b/>
          <w:kern w:val="2"/>
          <w:sz w:val="24"/>
          <w:szCs w:val="32"/>
          <w:lang w:val="en-US" w:eastAsia="zh-CN" w:bidi="ar-SA"/>
        </w:rPr>
        <w:t>第六章 政府采购合同</w:t>
      </w:r>
      <w:r>
        <w:rPr>
          <w:rFonts w:ascii="宋体" w:hAnsi="宋体" w:eastAsia="宋体" w:cs="Times New Roman"/>
          <w:b/>
          <w:kern w:val="2"/>
          <w:sz w:val="24"/>
          <w:szCs w:val="21"/>
          <w:lang w:val="en-US" w:eastAsia="zh-CN" w:bidi="ar-SA"/>
        </w:rPr>
        <w:tab/>
      </w:r>
      <w:r>
        <w:rPr>
          <w:rFonts w:ascii="宋体" w:hAnsi="宋体" w:eastAsia="宋体" w:cs="Times New Roman"/>
          <w:b/>
          <w:kern w:val="2"/>
          <w:sz w:val="24"/>
          <w:szCs w:val="21"/>
          <w:lang w:val="en-US" w:eastAsia="zh-CN" w:bidi="ar-SA"/>
        </w:rPr>
        <w:fldChar w:fldCharType="begin"/>
      </w:r>
      <w:r>
        <w:rPr>
          <w:rFonts w:ascii="宋体" w:hAnsi="宋体" w:eastAsia="宋体" w:cs="Times New Roman"/>
          <w:b/>
          <w:kern w:val="2"/>
          <w:sz w:val="24"/>
          <w:szCs w:val="21"/>
          <w:lang w:val="en-US" w:eastAsia="zh-CN" w:bidi="ar-SA"/>
        </w:rPr>
        <w:instrText xml:space="preserve"> PAGEREF _Toc1585 \h </w:instrText>
      </w:r>
      <w:r>
        <w:rPr>
          <w:rFonts w:ascii="宋体" w:hAnsi="宋体" w:eastAsia="宋体" w:cs="Times New Roman"/>
          <w:b/>
          <w:kern w:val="2"/>
          <w:sz w:val="24"/>
          <w:szCs w:val="21"/>
          <w:lang w:val="en-US" w:eastAsia="zh-CN" w:bidi="ar-SA"/>
        </w:rPr>
        <w:fldChar w:fldCharType="separate"/>
      </w:r>
      <w:r>
        <w:rPr>
          <w:rFonts w:ascii="宋体" w:hAnsi="宋体" w:eastAsia="宋体" w:cs="Times New Roman"/>
          <w:b/>
          <w:kern w:val="2"/>
          <w:sz w:val="24"/>
          <w:szCs w:val="21"/>
          <w:lang w:val="en-US" w:eastAsia="zh-CN" w:bidi="ar-SA"/>
        </w:rPr>
        <w:t>79</w:t>
      </w:r>
      <w:r>
        <w:rPr>
          <w:rFonts w:ascii="宋体" w:hAnsi="宋体" w:eastAsia="宋体" w:cs="Times New Roman"/>
          <w:b/>
          <w:kern w:val="2"/>
          <w:sz w:val="24"/>
          <w:szCs w:val="21"/>
          <w:lang w:val="en-US" w:eastAsia="zh-CN" w:bidi="ar-SA"/>
        </w:rPr>
        <w:fldChar w:fldCharType="end"/>
      </w:r>
      <w:r>
        <w:rPr>
          <w:rFonts w:ascii="宋体" w:hAnsi="宋体" w:eastAsia="宋体" w:cs="Times New Roman"/>
          <w:b/>
          <w:kern w:val="2"/>
          <w:sz w:val="24"/>
          <w:szCs w:val="21"/>
          <w:lang w:val="en-US" w:eastAsia="zh-CN" w:bidi="ar-SA"/>
        </w:rPr>
        <w:fldChar w:fldCharType="end"/>
      </w:r>
    </w:p>
    <w:p w14:paraId="02C80977">
      <w:pPr>
        <w:widowControl w:val="0"/>
        <w:tabs>
          <w:tab w:val="right" w:leader="dot" w:pos="8731"/>
        </w:tabs>
        <w:spacing w:line="360" w:lineRule="auto"/>
        <w:jc w:val="both"/>
        <w:rPr>
          <w:rFonts w:hint="eastAsia" w:ascii="宋体" w:hAnsi="宋体" w:eastAsia="宋体" w:cs="Times New Roman"/>
          <w:b/>
          <w:kern w:val="2"/>
          <w:sz w:val="24"/>
          <w:szCs w:val="21"/>
          <w:lang w:val="en-US" w:eastAsia="zh-CN" w:bidi="ar-SA"/>
        </w:rPr>
      </w:pPr>
      <w:r>
        <w:rPr>
          <w:rFonts w:ascii="宋体" w:hAnsi="宋体" w:eastAsia="宋体" w:cs="Times New Roman"/>
          <w:b/>
          <w:kern w:val="2"/>
          <w:sz w:val="24"/>
          <w:szCs w:val="21"/>
          <w:lang w:val="en-US" w:eastAsia="zh-CN" w:bidi="ar-SA"/>
        </w:rPr>
        <w:fldChar w:fldCharType="begin"/>
      </w:r>
      <w:r>
        <w:rPr>
          <w:rFonts w:ascii="宋体" w:hAnsi="宋体" w:eastAsia="宋体" w:cs="Times New Roman"/>
          <w:b/>
          <w:kern w:val="2"/>
          <w:sz w:val="24"/>
          <w:szCs w:val="21"/>
          <w:lang w:val="en-US" w:eastAsia="zh-CN" w:bidi="ar-SA"/>
        </w:rPr>
        <w:instrText xml:space="preserve"> HYPERLINK \l "_Toc17570" </w:instrText>
      </w:r>
      <w:r>
        <w:rPr>
          <w:rFonts w:ascii="宋体" w:hAnsi="宋体" w:eastAsia="宋体" w:cs="Times New Roman"/>
          <w:b/>
          <w:kern w:val="2"/>
          <w:sz w:val="24"/>
          <w:szCs w:val="21"/>
          <w:lang w:val="en-US" w:eastAsia="zh-CN" w:bidi="ar-SA"/>
        </w:rPr>
        <w:fldChar w:fldCharType="separate"/>
      </w:r>
      <w:r>
        <w:rPr>
          <w:rFonts w:hint="eastAsia" w:ascii="宋体" w:hAnsi="宋体" w:eastAsia="宋体" w:cs="宋体"/>
          <w:b/>
          <w:bCs/>
          <w:kern w:val="2"/>
          <w:sz w:val="24"/>
          <w:szCs w:val="32"/>
          <w:lang w:val="en-US" w:eastAsia="zh-CN" w:bidi="ar-SA"/>
        </w:rPr>
        <w:t>第七章 投标文件的组成</w:t>
      </w:r>
      <w:r>
        <w:rPr>
          <w:rFonts w:ascii="宋体" w:hAnsi="宋体" w:eastAsia="宋体" w:cs="Times New Roman"/>
          <w:b/>
          <w:kern w:val="2"/>
          <w:sz w:val="24"/>
          <w:szCs w:val="21"/>
          <w:lang w:val="en-US" w:eastAsia="zh-CN" w:bidi="ar-SA"/>
        </w:rPr>
        <w:tab/>
      </w:r>
      <w:r>
        <w:rPr>
          <w:rFonts w:ascii="宋体" w:hAnsi="宋体" w:eastAsia="宋体" w:cs="Times New Roman"/>
          <w:b/>
          <w:kern w:val="2"/>
          <w:sz w:val="24"/>
          <w:szCs w:val="21"/>
          <w:lang w:val="en-US" w:eastAsia="zh-CN" w:bidi="ar-SA"/>
        </w:rPr>
        <w:fldChar w:fldCharType="begin"/>
      </w:r>
      <w:r>
        <w:rPr>
          <w:rFonts w:ascii="宋体" w:hAnsi="宋体" w:eastAsia="宋体" w:cs="Times New Roman"/>
          <w:b/>
          <w:kern w:val="2"/>
          <w:sz w:val="24"/>
          <w:szCs w:val="21"/>
          <w:lang w:val="en-US" w:eastAsia="zh-CN" w:bidi="ar-SA"/>
        </w:rPr>
        <w:instrText xml:space="preserve"> PAGEREF _Toc17570 \h </w:instrText>
      </w:r>
      <w:r>
        <w:rPr>
          <w:rFonts w:ascii="宋体" w:hAnsi="宋体" w:eastAsia="宋体" w:cs="Times New Roman"/>
          <w:b/>
          <w:kern w:val="2"/>
          <w:sz w:val="24"/>
          <w:szCs w:val="21"/>
          <w:lang w:val="en-US" w:eastAsia="zh-CN" w:bidi="ar-SA"/>
        </w:rPr>
        <w:fldChar w:fldCharType="separate"/>
      </w:r>
      <w:r>
        <w:rPr>
          <w:rFonts w:ascii="宋体" w:hAnsi="宋体" w:eastAsia="宋体" w:cs="Times New Roman"/>
          <w:b/>
          <w:kern w:val="2"/>
          <w:sz w:val="24"/>
          <w:szCs w:val="21"/>
          <w:lang w:val="en-US" w:eastAsia="zh-CN" w:bidi="ar-SA"/>
        </w:rPr>
        <w:t>79</w:t>
      </w:r>
      <w:r>
        <w:rPr>
          <w:rFonts w:ascii="宋体" w:hAnsi="宋体" w:eastAsia="宋体" w:cs="Times New Roman"/>
          <w:b/>
          <w:kern w:val="2"/>
          <w:sz w:val="24"/>
          <w:szCs w:val="21"/>
          <w:lang w:val="en-US" w:eastAsia="zh-CN" w:bidi="ar-SA"/>
        </w:rPr>
        <w:fldChar w:fldCharType="end"/>
      </w:r>
      <w:r>
        <w:rPr>
          <w:rFonts w:ascii="宋体" w:hAnsi="宋体" w:eastAsia="宋体" w:cs="Times New Roman"/>
          <w:b/>
          <w:kern w:val="2"/>
          <w:sz w:val="24"/>
          <w:szCs w:val="21"/>
          <w:lang w:val="en-US" w:eastAsia="zh-CN" w:bidi="ar-SA"/>
        </w:rPr>
        <w:fldChar w:fldCharType="end"/>
      </w:r>
    </w:p>
    <w:p w14:paraId="4F1FC47D">
      <w:pPr>
        <w:widowControl w:val="0"/>
        <w:tabs>
          <w:tab w:val="right" w:leader="dot" w:pos="8731"/>
        </w:tabs>
        <w:spacing w:line="360" w:lineRule="auto"/>
        <w:ind w:left="420" w:leftChars="2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"_Toc23611"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44"/>
          <w:lang w:val="en-US" w:eastAsia="zh-CN" w:bidi="ar-SA"/>
        </w:rPr>
        <w:t>第一部分 资格证明文件</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_Toc23611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91</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10C1DA57">
      <w:pPr>
        <w:widowControl w:val="0"/>
        <w:tabs>
          <w:tab w:val="right" w:leader="dot" w:pos="8731"/>
        </w:tabs>
        <w:spacing w:line="360" w:lineRule="auto"/>
        <w:ind w:left="420" w:leftChars="2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"_Toc6890"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44"/>
          <w:lang w:val="en-US" w:eastAsia="zh-CN" w:bidi="ar-SA"/>
        </w:rPr>
        <w:t>第二部分 商务文件</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_Toc6890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104</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77E1E76F">
      <w:pPr>
        <w:widowControl w:val="0"/>
        <w:tabs>
          <w:tab w:val="right" w:leader="dot" w:pos="8731"/>
        </w:tabs>
        <w:spacing w:line="360" w:lineRule="auto"/>
        <w:ind w:left="420" w:leftChars="200"/>
        <w:jc w:val="both"/>
        <w:rPr>
          <w:rFonts w:ascii="Times New Roman" w:hAnsi="Times New Roman" w:eastAsia="宋体" w:cs="Times New Roman"/>
          <w:b/>
          <w:kern w:val="2"/>
          <w:sz w:val="21"/>
          <w:szCs w:val="24"/>
          <w:lang w:val="en-US" w:eastAsia="zh-CN" w:bidi="ar-SA"/>
        </w:rPr>
      </w:pP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HYPERLINK \l "_Toc15033" </w:instrText>
      </w:r>
      <w:r>
        <w:rPr>
          <w:rFonts w:ascii="Times New Roman" w:hAnsi="Times New Roman" w:eastAsia="宋体" w:cs="Times New Roman"/>
          <w:b/>
          <w:kern w:val="2"/>
          <w:sz w:val="21"/>
          <w:szCs w:val="24"/>
          <w:lang w:val="en-US" w:eastAsia="zh-CN" w:bidi="ar-SA"/>
        </w:rPr>
        <w:fldChar w:fldCharType="separate"/>
      </w:r>
      <w:r>
        <w:rPr>
          <w:rFonts w:hint="eastAsia" w:ascii="宋体" w:hAnsi="宋体" w:eastAsia="宋体" w:cs="宋体"/>
          <w:b/>
          <w:kern w:val="2"/>
          <w:sz w:val="21"/>
          <w:szCs w:val="44"/>
          <w:lang w:val="en-US" w:eastAsia="zh-CN" w:bidi="ar-SA"/>
        </w:rPr>
        <w:t>第三部分 技术文件</w:t>
      </w:r>
      <w:r>
        <w:rPr>
          <w:rFonts w:ascii="Times New Roman" w:hAnsi="Times New Roman" w:eastAsia="宋体" w:cs="Times New Roman"/>
          <w:b/>
          <w:kern w:val="2"/>
          <w:sz w:val="21"/>
          <w:szCs w:val="24"/>
          <w:lang w:val="en-US" w:eastAsia="zh-CN" w:bidi="ar-SA"/>
        </w:rPr>
        <w:tab/>
      </w:r>
      <w:r>
        <w:rPr>
          <w:rFonts w:ascii="Times New Roman" w:hAnsi="Times New Roman" w:eastAsia="宋体" w:cs="Times New Roman"/>
          <w:b/>
          <w:kern w:val="2"/>
          <w:sz w:val="21"/>
          <w:szCs w:val="24"/>
          <w:lang w:val="en-US" w:eastAsia="zh-CN" w:bidi="ar-SA"/>
        </w:rPr>
        <w:fldChar w:fldCharType="begin"/>
      </w:r>
      <w:r>
        <w:rPr>
          <w:rFonts w:ascii="Times New Roman" w:hAnsi="Times New Roman" w:eastAsia="宋体" w:cs="Times New Roman"/>
          <w:b/>
          <w:kern w:val="2"/>
          <w:sz w:val="21"/>
          <w:szCs w:val="24"/>
          <w:lang w:val="en-US" w:eastAsia="zh-CN" w:bidi="ar-SA"/>
        </w:rPr>
        <w:instrText xml:space="preserve"> PAGEREF _Toc15033 \h </w:instrText>
      </w:r>
      <w:r>
        <w:rPr>
          <w:rFonts w:ascii="Times New Roman" w:hAnsi="Times New Roman" w:eastAsia="宋体" w:cs="Times New Roman"/>
          <w:b/>
          <w:kern w:val="2"/>
          <w:sz w:val="21"/>
          <w:szCs w:val="24"/>
          <w:lang w:val="en-US" w:eastAsia="zh-CN" w:bidi="ar-SA"/>
        </w:rPr>
        <w:fldChar w:fldCharType="separate"/>
      </w:r>
      <w:r>
        <w:rPr>
          <w:rFonts w:ascii="Times New Roman" w:hAnsi="Times New Roman" w:eastAsia="宋体" w:cs="Times New Roman"/>
          <w:b/>
          <w:kern w:val="2"/>
          <w:sz w:val="21"/>
          <w:szCs w:val="24"/>
          <w:lang w:val="en-US" w:eastAsia="zh-CN" w:bidi="ar-SA"/>
        </w:rPr>
        <w:t>114</w:t>
      </w:r>
      <w:r>
        <w:rPr>
          <w:rFonts w:ascii="Times New Roman" w:hAnsi="Times New Roman" w:eastAsia="宋体" w:cs="Times New Roman"/>
          <w:b/>
          <w:kern w:val="2"/>
          <w:sz w:val="21"/>
          <w:szCs w:val="24"/>
          <w:lang w:val="en-US" w:eastAsia="zh-CN" w:bidi="ar-SA"/>
        </w:rPr>
        <w:fldChar w:fldCharType="end"/>
      </w:r>
      <w:r>
        <w:rPr>
          <w:rFonts w:ascii="Times New Roman" w:hAnsi="Times New Roman" w:eastAsia="宋体" w:cs="Times New Roman"/>
          <w:b/>
          <w:kern w:val="2"/>
          <w:sz w:val="21"/>
          <w:szCs w:val="24"/>
          <w:lang w:val="en-US" w:eastAsia="zh-CN" w:bidi="ar-SA"/>
        </w:rPr>
        <w:fldChar w:fldCharType="end"/>
      </w:r>
    </w:p>
    <w:p w14:paraId="3078977E">
      <w:pPr>
        <w:widowControl w:val="0"/>
        <w:tabs>
          <w:tab w:val="right" w:leader="dot" w:pos="8731"/>
        </w:tabs>
        <w:adjustRightInd w:val="0"/>
        <w:snapToGrid w:val="0"/>
        <w:spacing w:line="360" w:lineRule="auto"/>
        <w:ind w:left="840" w:leftChars="400"/>
        <w:jc w:val="both"/>
        <w:rPr>
          <w:rFonts w:ascii="Times New Roman" w:hAnsi="Times New Roman" w:eastAsia="宋体" w:cs="Times New Roman"/>
          <w:b/>
          <w:kern w:val="2"/>
          <w:sz w:val="21"/>
          <w:szCs w:val="24"/>
          <w:lang w:val="en-US" w:eastAsia="zh-CN" w:bidi="ar-SA"/>
        </w:rPr>
      </w:pPr>
    </w:p>
    <w:p w14:paraId="1D589484">
      <w:pPr>
        <w:widowControl w:val="0"/>
        <w:adjustRightInd w:val="0"/>
        <w:snapToGrid w:val="0"/>
        <w:spacing w:line="360" w:lineRule="auto"/>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fldChar w:fldCharType="end"/>
      </w:r>
      <w:r>
        <w:rPr>
          <w:rFonts w:hint="eastAsia" w:ascii="宋体" w:hAnsi="宋体" w:eastAsia="宋体" w:cs="宋体"/>
          <w:kern w:val="2"/>
          <w:sz w:val="21"/>
          <w:szCs w:val="21"/>
          <w:lang w:val="en-US" w:eastAsia="zh-CN" w:bidi="ar-SA"/>
        </w:rPr>
        <w:t xml:space="preserve"> </w:t>
      </w:r>
    </w:p>
    <w:p w14:paraId="6A465A53">
      <w:pPr>
        <w:rPr>
          <w:rFonts w:hint="eastAsia" w:ascii="宋体" w:hAnsi="宋体" w:cs="宋体"/>
        </w:rPr>
        <w:sectPr>
          <w:headerReference r:id="rId6" w:type="first"/>
          <w:headerReference r:id="rId4" w:type="default"/>
          <w:footerReference r:id="rId7" w:type="default"/>
          <w:headerReference r:id="rId5" w:type="even"/>
          <w:pgSz w:w="11905" w:h="16838"/>
          <w:pgMar w:top="1440" w:right="1587" w:bottom="1440" w:left="1587" w:header="1020" w:footer="567" w:gutter="0"/>
          <w:pgNumType w:fmt="upperRoman" w:start="1"/>
          <w:cols w:space="0" w:num="1"/>
          <w:docGrid w:type="lines" w:linePitch="317" w:charSpace="0"/>
        </w:sectPr>
      </w:pPr>
      <w:bookmarkStart w:id="3" w:name="_Toc21000471"/>
      <w:bookmarkStart w:id="4" w:name="_Toc20988241"/>
      <w:bookmarkStart w:id="5" w:name="_Toc34720698"/>
      <w:bookmarkStart w:id="6" w:name="_Toc21001314"/>
      <w:bookmarkStart w:id="7" w:name="_Toc20816073"/>
      <w:bookmarkStart w:id="8" w:name="_Toc20642243"/>
      <w:bookmarkStart w:id="9" w:name="_Toc35421027"/>
      <w:bookmarkStart w:id="10" w:name="_Toc53472201"/>
    </w:p>
    <w:p w14:paraId="28042235">
      <w:pPr>
        <w:keepNext/>
        <w:widowControl w:val="0"/>
        <w:jc w:val="center"/>
        <w:outlineLvl w:val="0"/>
        <w:rPr>
          <w:rFonts w:hint="eastAsia" w:ascii="宋体" w:hAnsi="宋体" w:eastAsia="宋体" w:cs="宋体"/>
          <w:b/>
          <w:bCs/>
          <w:kern w:val="2"/>
          <w:sz w:val="32"/>
          <w:szCs w:val="32"/>
          <w:lang w:val="en-US" w:eastAsia="zh-CN" w:bidi="ar-SA"/>
        </w:rPr>
      </w:pPr>
      <w:bookmarkStart w:id="11" w:name="_Toc6599"/>
      <w:r>
        <w:rPr>
          <w:rFonts w:hint="eastAsia" w:ascii="宋体" w:hAnsi="宋体" w:eastAsia="宋体" w:cs="宋体"/>
          <w:b/>
          <w:bCs/>
          <w:kern w:val="2"/>
          <w:sz w:val="32"/>
          <w:szCs w:val="32"/>
          <w:lang w:val="en-US" w:eastAsia="zh-CN" w:bidi="ar-SA"/>
        </w:rPr>
        <w:t>第一章 投标邀请</w:t>
      </w:r>
      <w:bookmarkEnd w:id="11"/>
    </w:p>
    <w:p w14:paraId="41A10EFD">
      <w:pPr>
        <w:widowControl w:val="0"/>
        <w:adjustRightInd w:val="0"/>
        <w:snapToGrid w:val="0"/>
        <w:spacing w:line="360" w:lineRule="auto"/>
        <w:jc w:val="center"/>
        <w:rPr>
          <w:rFonts w:hint="eastAsia" w:ascii="宋体" w:hAnsi="宋体" w:eastAsia="宋体" w:cs="宋体"/>
          <w:iCs/>
          <w:kern w:val="2"/>
          <w:sz w:val="21"/>
          <w:szCs w:val="21"/>
          <w:lang w:val="en-US" w:eastAsia="zh-CN" w:bidi="ar-SA"/>
        </w:rPr>
      </w:pPr>
    </w:p>
    <w:p w14:paraId="5AC8E18A">
      <w:pPr>
        <w:adjustRightInd w:val="0"/>
        <w:snapToGrid w:val="0"/>
        <w:spacing w:line="360" w:lineRule="auto"/>
        <w:ind w:firstLine="420" w:firstLineChars="200"/>
        <w:rPr>
          <w:rFonts w:hint="eastAsia" w:ascii="宋体" w:hAnsi="宋体" w:eastAsia="宋体" w:cs="Times New Roman"/>
          <w:szCs w:val="21"/>
        </w:rPr>
      </w:pPr>
      <w:bookmarkStart w:id="12" w:name="OLE_LINK170"/>
      <w:r>
        <w:rPr>
          <w:rFonts w:hint="eastAsia" w:ascii="宋体" w:hAnsi="宋体" w:eastAsia="宋体" w:cs="Times New Roman"/>
          <w:szCs w:val="21"/>
          <w:u w:val="single"/>
        </w:rPr>
        <w:t>湖南化工职业技术学院</w:t>
      </w:r>
      <w:r>
        <w:rPr>
          <w:rFonts w:hint="eastAsia" w:ascii="宋体" w:hAnsi="宋体" w:eastAsia="宋体" w:cs="Times New Roman"/>
          <w:szCs w:val="21"/>
        </w:rPr>
        <w:t>的</w:t>
      </w:r>
      <w:bookmarkStart w:id="13" w:name="_Hlk236294933"/>
      <w:r>
        <w:rPr>
          <w:rFonts w:hint="eastAsia" w:ascii="宋体" w:hAnsi="宋体" w:eastAsia="宋体" w:cs="Times New Roman"/>
          <w:color w:val="000000"/>
          <w:szCs w:val="21"/>
          <w:u w:val="single"/>
        </w:rPr>
        <w:t>湖南化工职业技术学院生物医药与功能材料工程技术中心—仪器与配套设备购置</w:t>
      </w:r>
      <w:bookmarkEnd w:id="13"/>
      <w:r>
        <w:rPr>
          <w:rFonts w:hint="eastAsia" w:ascii="宋体" w:hAnsi="宋体" w:eastAsia="宋体" w:cs="Times New Roman"/>
          <w:szCs w:val="21"/>
        </w:rPr>
        <w:t>进行公开招标采购，现邀请合格投标人参加投标。</w:t>
      </w:r>
    </w:p>
    <w:p w14:paraId="67815EF8">
      <w:pPr>
        <w:adjustRightInd w:val="0"/>
        <w:snapToGrid w:val="0"/>
        <w:spacing w:line="360" w:lineRule="auto"/>
        <w:ind w:firstLine="422" w:firstLineChars="200"/>
        <w:rPr>
          <w:rFonts w:hint="eastAsia" w:ascii="宋体" w:hAnsi="宋体" w:eastAsia="宋体" w:cs="Times New Roman"/>
          <w:b/>
          <w:szCs w:val="21"/>
        </w:rPr>
      </w:pPr>
      <w:r>
        <w:rPr>
          <w:rFonts w:hint="eastAsia" w:ascii="宋体" w:hAnsi="宋体" w:eastAsia="宋体" w:cs="Times New Roman"/>
          <w:b/>
          <w:szCs w:val="21"/>
        </w:rPr>
        <w:t>一、采购项目基本信息</w:t>
      </w:r>
    </w:p>
    <w:p w14:paraId="69254940">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1、采购项目名称：</w:t>
      </w:r>
      <w:r>
        <w:rPr>
          <w:rFonts w:hint="eastAsia" w:ascii="宋体" w:hAnsi="宋体" w:eastAsia="宋体" w:cs="Times New Roman"/>
          <w:szCs w:val="21"/>
          <w:u w:val="single"/>
        </w:rPr>
        <w:t>湖南化工职业技术学院生物医药与功能材料工程技术中心—仪器与配套设备购置</w:t>
      </w:r>
    </w:p>
    <w:p w14:paraId="56781170">
      <w:pP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szCs w:val="21"/>
        </w:rPr>
        <w:t>2</w:t>
      </w:r>
      <w:r>
        <w:rPr>
          <w:rFonts w:hint="eastAsia" w:ascii="宋体" w:hAnsi="宋体" w:eastAsia="宋体" w:cs="Times New Roman"/>
          <w:color w:val="auto"/>
          <w:szCs w:val="21"/>
          <w:highlight w:val="none"/>
        </w:rPr>
        <w:t xml:space="preserve">、政府采购计划编号： </w:t>
      </w:r>
      <w:r>
        <w:rPr>
          <w:rFonts w:hint="eastAsia" w:ascii="宋体" w:hAnsi="宋体" w:eastAsia="宋体" w:cs="Times New Roman"/>
          <w:color w:val="auto"/>
          <w:szCs w:val="21"/>
          <w:highlight w:val="none"/>
          <w:u w:val="single"/>
        </w:rPr>
        <w:t>(2026)430000001288-1</w:t>
      </w:r>
    </w:p>
    <w:p w14:paraId="5741D2D3">
      <w:pPr>
        <w:adjustRightInd w:val="0"/>
        <w:snapToGrid w:val="0"/>
        <w:spacing w:line="360" w:lineRule="auto"/>
        <w:ind w:firstLine="420" w:firstLineChars="200"/>
        <w:rPr>
          <w:rFonts w:hint="eastAsia" w:ascii="宋体" w:hAnsi="宋体" w:eastAsia="宋体" w:cs="Times New Roman"/>
          <w:i/>
          <w:color w:val="auto"/>
          <w:szCs w:val="21"/>
          <w:highlight w:val="none"/>
        </w:rPr>
      </w:pPr>
      <w:r>
        <w:rPr>
          <w:rFonts w:hint="eastAsia" w:ascii="宋体" w:hAnsi="宋体" w:eastAsia="宋体" w:cs="Times New Roman"/>
          <w:color w:val="auto"/>
          <w:szCs w:val="21"/>
          <w:highlight w:val="none"/>
        </w:rPr>
        <w:t>3、委托代理编号：</w:t>
      </w:r>
      <w:r>
        <w:rPr>
          <w:rFonts w:hint="eastAsia" w:ascii="宋体" w:hAnsi="宋体" w:eastAsia="宋体" w:cs="Times New Roman"/>
          <w:color w:val="auto"/>
          <w:szCs w:val="21"/>
          <w:highlight w:val="none"/>
          <w:u w:val="single" w:color="000000"/>
        </w:rPr>
        <w:t>HNHZ-CS-2026097</w:t>
      </w:r>
    </w:p>
    <w:p w14:paraId="1341BA07">
      <w:pPr>
        <w:adjustRightInd w:val="0"/>
        <w:snapToGrid w:val="0"/>
        <w:spacing w:line="360" w:lineRule="auto"/>
        <w:ind w:firstLine="420" w:firstLineChars="200"/>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4、采购项目预算：</w:t>
      </w:r>
      <w:r>
        <w:rPr>
          <w:rFonts w:hint="eastAsia" w:ascii="宋体" w:hAnsi="宋体" w:eastAsia="宋体" w:cs="Times New Roman"/>
          <w:bCs/>
          <w:color w:val="auto"/>
          <w:szCs w:val="21"/>
          <w:highlight w:val="none"/>
          <w:u w:val="single"/>
          <w:lang w:val="en-US" w:eastAsia="zh-CN"/>
        </w:rPr>
        <w:t>430</w:t>
      </w:r>
      <w:r>
        <w:rPr>
          <w:rFonts w:hint="eastAsia" w:ascii="宋体" w:hAnsi="宋体" w:eastAsia="宋体" w:cs="Times New Roman"/>
          <w:bCs/>
          <w:color w:val="auto"/>
          <w:szCs w:val="21"/>
          <w:highlight w:val="none"/>
          <w:u w:val="single"/>
        </w:rPr>
        <w:t>0000.00</w:t>
      </w:r>
    </w:p>
    <w:p w14:paraId="5B8A5C0F">
      <w:pPr>
        <w:adjustRightInd w:val="0"/>
        <w:snapToGrid w:val="0"/>
        <w:spacing w:line="360" w:lineRule="auto"/>
        <w:ind w:firstLine="630" w:firstLineChars="300"/>
        <w:rPr>
          <w:rFonts w:hint="eastAsia" w:ascii="宋体" w:hAnsi="宋体" w:eastAsia="宋体" w:cs="Times New Roman"/>
          <w:bCs/>
          <w:color w:val="auto"/>
          <w:szCs w:val="21"/>
          <w:highlight w:val="none"/>
          <w:u w:val="single"/>
        </w:rPr>
      </w:pP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支持</w:t>
      </w:r>
      <w:r>
        <w:rPr>
          <w:rFonts w:hint="eastAsia" w:ascii="宋体" w:hAnsi="宋体" w:eastAsia="宋体" w:cs="Times New Roman"/>
          <w:bCs/>
          <w:color w:val="auto"/>
          <w:szCs w:val="21"/>
          <w:highlight w:val="none"/>
        </w:rPr>
        <w:t>预付款，预付比例：</w:t>
      </w:r>
      <w:r>
        <w:rPr>
          <w:rFonts w:hint="eastAsia" w:ascii="宋体" w:hAnsi="宋体" w:eastAsia="宋体" w:cs="Times New Roman"/>
          <w:bCs/>
          <w:color w:val="auto"/>
          <w:szCs w:val="21"/>
          <w:highlight w:val="none"/>
          <w:u w:val="single"/>
        </w:rPr>
        <w:t xml:space="preserve"> / </w:t>
      </w:r>
    </w:p>
    <w:p w14:paraId="65FA8A28">
      <w:pPr>
        <w:adjustRightInd w:val="0"/>
        <w:snapToGrid w:val="0"/>
        <w:spacing w:line="360" w:lineRule="auto"/>
        <w:ind w:firstLine="420" w:firstLineChars="200"/>
        <w:rPr>
          <w:rFonts w:hint="eastAsia" w:ascii="宋体" w:hAnsi="宋体" w:eastAsia="宋体" w:cs="Times New Roman"/>
          <w:color w:val="auto"/>
          <w:szCs w:val="21"/>
          <w:highlight w:val="none"/>
          <w:u w:val="single"/>
        </w:rPr>
      </w:pPr>
      <w:r>
        <w:rPr>
          <w:rFonts w:hint="eastAsia" w:ascii="宋体" w:hAnsi="宋体" w:eastAsia="宋体" w:cs="Times New Roman"/>
          <w:bCs/>
          <w:color w:val="auto"/>
          <w:szCs w:val="21"/>
          <w:highlight w:val="none"/>
        </w:rPr>
        <w:t>5、本项目</w:t>
      </w:r>
      <w:r>
        <w:rPr>
          <w:rFonts w:hint="eastAsia" w:ascii="宋体" w:hAnsi="宋体" w:eastAsia="宋体" w:cs="Times New Roman"/>
          <w:color w:val="auto"/>
          <w:szCs w:val="21"/>
          <w:highlight w:val="none"/>
        </w:rPr>
        <w:t>对应的中小企业划分标准所属行业：</w:t>
      </w:r>
      <w:r>
        <w:rPr>
          <w:rFonts w:hint="eastAsia" w:ascii="宋体" w:hAnsi="宋体" w:eastAsia="宋体" w:cs="Times New Roman"/>
          <w:color w:val="auto"/>
          <w:szCs w:val="21"/>
          <w:highlight w:val="none"/>
          <w:u w:val="single"/>
        </w:rPr>
        <w:t xml:space="preserve"> 工业 </w:t>
      </w:r>
    </w:p>
    <w:p w14:paraId="57931126">
      <w:pPr>
        <w:adjustRightInd w:val="0"/>
        <w:snapToGrid w:val="0"/>
        <w:spacing w:line="360" w:lineRule="auto"/>
        <w:ind w:firstLine="420" w:firstLineChars="200"/>
        <w:rPr>
          <w:rFonts w:hint="eastAsia" w:ascii="宋体" w:hAnsi="宋体" w:eastAsia="宋体" w:cs="Times New Roman"/>
          <w:bCs/>
          <w:color w:val="auto"/>
          <w:szCs w:val="21"/>
          <w:highlight w:val="none"/>
          <w:u w:val="single"/>
        </w:rPr>
      </w:pPr>
      <w:r>
        <w:rPr>
          <w:rFonts w:hint="eastAsia" w:ascii="宋体" w:hAnsi="宋体" w:eastAsia="宋体" w:cs="Times New Roman"/>
          <w:bCs/>
          <w:color w:val="auto"/>
          <w:szCs w:val="21"/>
          <w:highlight w:val="none"/>
        </w:rPr>
        <w:t>6、评标方法：</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 xml:space="preserve">最低价法  </w:t>
      </w:r>
      <w:r>
        <w:rPr>
          <w:rFonts w:hint="eastAsia" w:ascii="宋体" w:hAnsi="宋体" w:eastAsia="宋体" w:cs="Times New Roman"/>
          <w:iCs/>
          <w:color w:val="auto"/>
          <w:szCs w:val="21"/>
          <w:highlight w:val="none"/>
        </w:rPr>
        <w:sym w:font="Wingdings" w:char="00FE"/>
      </w:r>
      <w:r>
        <w:rPr>
          <w:rFonts w:hint="eastAsia" w:ascii="宋体" w:hAnsi="宋体" w:eastAsia="宋体" w:cs="Times New Roman"/>
          <w:iCs/>
          <w:color w:val="auto"/>
          <w:szCs w:val="21"/>
          <w:highlight w:val="none"/>
        </w:rPr>
        <w:t>综合评分法</w:t>
      </w:r>
    </w:p>
    <w:p w14:paraId="4005B8DE">
      <w:pPr>
        <w:adjustRightInd w:val="0"/>
        <w:snapToGrid w:val="0"/>
        <w:spacing w:line="360" w:lineRule="auto"/>
        <w:ind w:firstLine="420" w:firstLineChars="200"/>
        <w:rPr>
          <w:rFonts w:hint="eastAsia" w:ascii="宋体" w:hAnsi="宋体" w:eastAsia="宋体" w:cs="Times New Roman"/>
          <w:bCs/>
          <w:color w:val="auto"/>
          <w:szCs w:val="21"/>
          <w:highlight w:val="none"/>
          <w:u w:val="single"/>
        </w:rPr>
      </w:pPr>
      <w:r>
        <w:rPr>
          <w:rFonts w:hint="eastAsia" w:ascii="宋体" w:hAnsi="宋体" w:eastAsia="宋体" w:cs="Times New Roman"/>
          <w:bCs/>
          <w:color w:val="auto"/>
          <w:szCs w:val="21"/>
          <w:highlight w:val="none"/>
        </w:rPr>
        <w:t>7、合同定价方式：</w:t>
      </w:r>
      <w:r>
        <w:rPr>
          <w:rFonts w:hint="eastAsia" w:ascii="宋体" w:hAnsi="宋体" w:eastAsia="宋体" w:cs="Times New Roman"/>
          <w:iCs/>
          <w:color w:val="auto"/>
          <w:szCs w:val="21"/>
          <w:highlight w:val="none"/>
        </w:rPr>
        <w:sym w:font="Wingdings" w:char="00FE"/>
      </w:r>
      <w:r>
        <w:rPr>
          <w:rFonts w:hint="eastAsia" w:ascii="宋体" w:hAnsi="宋体" w:eastAsia="宋体" w:cs="Times New Roman"/>
          <w:iCs/>
          <w:color w:val="auto"/>
          <w:szCs w:val="21"/>
          <w:highlight w:val="none"/>
        </w:rPr>
        <w:t xml:space="preserve">固定总价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 xml:space="preserve">固定单价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 xml:space="preserve">成本补偿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绩效激励</w:t>
      </w:r>
    </w:p>
    <w:p w14:paraId="3692033A">
      <w:pPr>
        <w:adjustRightInd w:val="0"/>
        <w:snapToGrid w:val="0"/>
        <w:spacing w:line="360" w:lineRule="auto"/>
        <w:ind w:firstLine="420" w:firstLineChars="200"/>
        <w:rPr>
          <w:rFonts w:hint="eastAsia" w:ascii="宋体" w:hAnsi="宋体" w:eastAsia="宋体" w:cs="Times New Roman"/>
          <w:bCs/>
          <w:color w:val="auto"/>
          <w:szCs w:val="21"/>
          <w:highlight w:val="none"/>
          <w:u w:val="single"/>
        </w:rPr>
      </w:pPr>
      <w:r>
        <w:rPr>
          <w:rFonts w:hint="eastAsia" w:ascii="宋体" w:hAnsi="宋体" w:eastAsia="宋体" w:cs="Times New Roman"/>
          <w:bCs/>
          <w:color w:val="auto"/>
          <w:szCs w:val="21"/>
          <w:highlight w:val="none"/>
        </w:rPr>
        <w:t>8、合同履行期限：</w:t>
      </w:r>
      <w:r>
        <w:rPr>
          <w:rFonts w:hint="eastAsia" w:ascii="宋体" w:hAnsi="宋体" w:eastAsia="宋体" w:cs="Times New Roman"/>
          <w:bCs/>
          <w:color w:val="auto"/>
          <w:szCs w:val="21"/>
          <w:highlight w:val="none"/>
          <w:u w:val="single"/>
        </w:rPr>
        <w:t xml:space="preserve"> 合同签订后60 个日历天</w:t>
      </w:r>
    </w:p>
    <w:p w14:paraId="1A929519">
      <w:pPr>
        <w:ind w:firstLine="420" w:firstLineChars="200"/>
        <w:rPr>
          <w:rFonts w:ascii="Times New Roman" w:hAnsi="Times New Roman" w:eastAsia="宋体" w:cs="Times New Roman"/>
          <w:color w:val="auto"/>
          <w:szCs w:val="21"/>
          <w:highlight w:val="none"/>
        </w:rPr>
      </w:pPr>
      <w:r>
        <w:rPr>
          <w:rFonts w:hint="eastAsia" w:ascii="宋体" w:hAnsi="宋体" w:eastAsia="宋体" w:cs="Times New Roman"/>
          <w:bCs/>
          <w:color w:val="auto"/>
          <w:szCs w:val="21"/>
          <w:highlight w:val="none"/>
        </w:rPr>
        <w:t>9、</w:t>
      </w:r>
      <w:r>
        <w:rPr>
          <w:rFonts w:hint="eastAsia" w:ascii="Times New Roman" w:hAnsi="Times New Roman" w:eastAsia="宋体" w:cs="Times New Roman"/>
          <w:color w:val="auto"/>
          <w:szCs w:val="21"/>
          <w:highlight w:val="none"/>
        </w:rPr>
        <w:t>本项目分阶段要求投标人提供以下保证：</w:t>
      </w:r>
    </w:p>
    <w:p w14:paraId="046EAF6F">
      <w:pPr>
        <w:spacing w:line="360" w:lineRule="auto"/>
        <w:ind w:firstLine="420" w:firstLineChars="200"/>
        <w:rPr>
          <w:rFonts w:hint="eastAsia" w:ascii="宋体" w:hAnsi="宋体" w:eastAsia="宋体" w:cs="Times New Roman"/>
          <w:iCs/>
          <w:color w:val="auto"/>
          <w:szCs w:val="21"/>
          <w:highlight w:val="none"/>
        </w:rPr>
      </w:pPr>
      <w:r>
        <w:rPr>
          <w:rFonts w:hint="eastAsia" w:ascii="宋体" w:hAnsi="宋体" w:eastAsia="宋体" w:cs="Times New Roman"/>
          <w:iCs/>
          <w:color w:val="auto"/>
          <w:szCs w:val="21"/>
          <w:highlight w:val="none"/>
        </w:rPr>
        <w:sym w:font="Wingdings" w:char="00A8"/>
      </w:r>
      <w:r>
        <w:rPr>
          <w:rFonts w:hint="eastAsia" w:ascii="宋体" w:hAnsi="宋体" w:eastAsia="宋体" w:cs="Times New Roman"/>
          <w:color w:val="auto"/>
          <w:szCs w:val="21"/>
          <w:highlight w:val="none"/>
        </w:rPr>
        <w:t>投标保证金：</w:t>
      </w:r>
      <w:r>
        <w:rPr>
          <w:rFonts w:hint="eastAsia" w:ascii="宋体" w:hAnsi="宋体" w:eastAsia="宋体" w:cs="Times New Roman"/>
          <w:iCs/>
          <w:color w:val="auto"/>
          <w:szCs w:val="21"/>
          <w:highlight w:val="none"/>
        </w:rPr>
        <w:t>采购项目预算的</w:t>
      </w:r>
      <w:r>
        <w:rPr>
          <w:rFonts w:hint="eastAsia" w:ascii="宋体" w:hAnsi="宋体" w:eastAsia="宋体" w:cs="Times New Roman"/>
          <w:iCs/>
          <w:color w:val="auto"/>
          <w:szCs w:val="21"/>
          <w:highlight w:val="none"/>
          <w:u w:val="single"/>
        </w:rPr>
        <w:t xml:space="preserve">   </w:t>
      </w:r>
      <w:r>
        <w:rPr>
          <w:rFonts w:hint="eastAsia" w:ascii="宋体" w:hAnsi="宋体" w:eastAsia="宋体" w:cs="Times New Roman"/>
          <w:iCs/>
          <w:color w:val="auto"/>
          <w:szCs w:val="21"/>
          <w:highlight w:val="none"/>
        </w:rPr>
        <w:t>%</w:t>
      </w:r>
      <w:r>
        <w:rPr>
          <w:rFonts w:hint="eastAsia" w:ascii="宋体" w:hAnsi="宋体" w:eastAsia="宋体" w:cs="Times New Roman"/>
          <w:color w:val="auto"/>
          <w:szCs w:val="21"/>
          <w:highlight w:val="none"/>
        </w:rPr>
        <w:t>；</w:t>
      </w:r>
    </w:p>
    <w:p w14:paraId="254CF684">
      <w:pPr>
        <w:spacing w:line="360" w:lineRule="auto"/>
        <w:ind w:firstLine="420" w:firstLineChars="200"/>
        <w:rPr>
          <w:rFonts w:hint="eastAsia" w:ascii="宋体" w:hAnsi="宋体" w:eastAsia="宋体" w:cs="Times New Roman"/>
          <w:iCs/>
          <w:color w:val="auto"/>
          <w:szCs w:val="21"/>
          <w:highlight w:val="none"/>
        </w:rPr>
      </w:pPr>
      <w:r>
        <w:rPr>
          <w:rFonts w:hint="eastAsia" w:ascii="宋体" w:hAnsi="宋体" w:eastAsia="宋体" w:cs="Times New Roman"/>
          <w:iCs/>
          <w:color w:val="auto"/>
          <w:szCs w:val="21"/>
          <w:highlight w:val="none"/>
        </w:rPr>
        <w:sym w:font="Wingdings" w:char="00A8"/>
      </w:r>
      <w:r>
        <w:rPr>
          <w:rFonts w:hint="eastAsia" w:ascii="宋体" w:hAnsi="宋体" w:eastAsia="宋体" w:cs="Times New Roman"/>
          <w:color w:val="auto"/>
          <w:szCs w:val="21"/>
          <w:highlight w:val="none"/>
        </w:rPr>
        <w:t>履约保证金：</w:t>
      </w:r>
      <w:r>
        <w:rPr>
          <w:rFonts w:hint="eastAsia" w:ascii="宋体" w:hAnsi="宋体" w:eastAsia="宋体" w:cs="Times New Roman"/>
          <w:iCs/>
          <w:color w:val="auto"/>
          <w:szCs w:val="21"/>
          <w:highlight w:val="none"/>
        </w:rPr>
        <w:t>中标金额的</w:t>
      </w:r>
      <w:r>
        <w:rPr>
          <w:rFonts w:hint="eastAsia" w:ascii="宋体" w:hAnsi="宋体" w:eastAsia="宋体" w:cs="Times New Roman"/>
          <w:iCs/>
          <w:color w:val="auto"/>
          <w:szCs w:val="21"/>
          <w:highlight w:val="none"/>
          <w:u w:val="single"/>
        </w:rPr>
        <w:t xml:space="preserve">   </w:t>
      </w:r>
      <w:r>
        <w:rPr>
          <w:rFonts w:hint="eastAsia" w:ascii="宋体" w:hAnsi="宋体" w:eastAsia="宋体" w:cs="Times New Roman"/>
          <w:iCs/>
          <w:color w:val="auto"/>
          <w:szCs w:val="21"/>
          <w:highlight w:val="none"/>
        </w:rPr>
        <w:t>%</w:t>
      </w:r>
      <w:r>
        <w:rPr>
          <w:rFonts w:hint="eastAsia" w:ascii="宋体" w:hAnsi="宋体" w:eastAsia="宋体" w:cs="Times New Roman"/>
          <w:color w:val="auto"/>
          <w:szCs w:val="21"/>
          <w:highlight w:val="none"/>
        </w:rPr>
        <w:t>；</w:t>
      </w:r>
    </w:p>
    <w:p w14:paraId="1499DA7B">
      <w:pPr>
        <w:spacing w:line="360" w:lineRule="auto"/>
        <w:ind w:firstLine="420" w:firstLineChars="200"/>
        <w:rPr>
          <w:rFonts w:hint="eastAsia" w:ascii="宋体" w:hAnsi="宋体" w:eastAsia="宋体" w:cs="Times New Roman"/>
          <w:iCs/>
          <w:color w:val="auto"/>
          <w:szCs w:val="21"/>
          <w:highlight w:val="none"/>
        </w:rPr>
      </w:pP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质量保证金：合同金额的</w:t>
      </w:r>
      <w:r>
        <w:rPr>
          <w:rFonts w:hint="eastAsia" w:ascii="宋体" w:hAnsi="宋体" w:eastAsia="宋体" w:cs="Times New Roman"/>
          <w:iCs/>
          <w:color w:val="auto"/>
          <w:szCs w:val="21"/>
          <w:highlight w:val="none"/>
          <w:u w:val="single"/>
        </w:rPr>
        <w:t xml:space="preserve">   </w:t>
      </w:r>
      <w:r>
        <w:rPr>
          <w:rFonts w:hint="eastAsia" w:ascii="宋体" w:hAnsi="宋体" w:eastAsia="宋体" w:cs="Times New Roman"/>
          <w:iCs/>
          <w:color w:val="auto"/>
          <w:szCs w:val="21"/>
          <w:highlight w:val="none"/>
        </w:rPr>
        <w:t>%。</w:t>
      </w:r>
    </w:p>
    <w:p w14:paraId="6D5F60D2">
      <w:pPr>
        <w:adjustRightInd w:val="0"/>
        <w:snapToGrid w:val="0"/>
        <w:spacing w:line="360" w:lineRule="auto"/>
        <w:ind w:firstLine="422" w:firstLineChars="200"/>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二、采购人的采购需求</w:t>
      </w:r>
    </w:p>
    <w:tbl>
      <w:tblPr>
        <w:tblStyle w:val="2"/>
        <w:tblW w:w="960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64"/>
        <w:gridCol w:w="1190"/>
        <w:gridCol w:w="1922"/>
        <w:gridCol w:w="1800"/>
        <w:gridCol w:w="797"/>
        <w:gridCol w:w="1527"/>
        <w:gridCol w:w="737"/>
        <w:gridCol w:w="770"/>
      </w:tblGrid>
      <w:tr w14:paraId="3613BA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64" w:type="dxa"/>
            <w:tcBorders>
              <w:tl2br w:val="nil"/>
              <w:tr2bl w:val="nil"/>
            </w:tcBorders>
            <w:vAlign w:val="center"/>
          </w:tcPr>
          <w:p w14:paraId="7F1244B5">
            <w:pPr>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 xml:space="preserve">包名称 </w:t>
            </w:r>
          </w:p>
        </w:tc>
        <w:tc>
          <w:tcPr>
            <w:tcW w:w="1190" w:type="dxa"/>
            <w:tcBorders>
              <w:tl2br w:val="nil"/>
              <w:tr2bl w:val="nil"/>
            </w:tcBorders>
            <w:vAlign w:val="center"/>
          </w:tcPr>
          <w:p w14:paraId="7AE2CDA9">
            <w:pPr>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最高限价（元）</w:t>
            </w:r>
          </w:p>
        </w:tc>
        <w:tc>
          <w:tcPr>
            <w:tcW w:w="1922" w:type="dxa"/>
            <w:tcBorders>
              <w:tl2br w:val="nil"/>
              <w:tr2bl w:val="nil"/>
            </w:tcBorders>
            <w:vAlign w:val="center"/>
          </w:tcPr>
          <w:p w14:paraId="69F8BA9D">
            <w:pPr>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标的名称</w:t>
            </w:r>
          </w:p>
        </w:tc>
        <w:tc>
          <w:tcPr>
            <w:tcW w:w="1800" w:type="dxa"/>
            <w:tcBorders>
              <w:tl2br w:val="nil"/>
              <w:tr2bl w:val="nil"/>
            </w:tcBorders>
            <w:vAlign w:val="center"/>
          </w:tcPr>
          <w:p w14:paraId="061BFA5F">
            <w:pPr>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简要技术要求</w:t>
            </w:r>
          </w:p>
        </w:tc>
        <w:tc>
          <w:tcPr>
            <w:tcW w:w="797" w:type="dxa"/>
            <w:tcBorders>
              <w:tl2br w:val="nil"/>
              <w:tr2bl w:val="nil"/>
            </w:tcBorders>
            <w:vAlign w:val="center"/>
          </w:tcPr>
          <w:p w14:paraId="7A60C01C">
            <w:pPr>
              <w:adjustRightInd w:val="0"/>
              <w:snapToGrid w:val="0"/>
              <w:jc w:val="center"/>
              <w:rPr>
                <w:rFonts w:hint="eastAsia" w:ascii="宋体" w:hAnsi="宋体" w:eastAsia="宋体" w:cs="宋体"/>
                <w:color w:val="auto"/>
                <w:kern w:val="0"/>
                <w:szCs w:val="21"/>
                <w:highlight w:val="none"/>
              </w:rPr>
            </w:pPr>
            <w:r>
              <w:rPr>
                <w:rFonts w:hint="eastAsia" w:ascii="Times New Roman" w:hAnsi="Times New Roman" w:eastAsia="宋体" w:cs="Times New Roman"/>
                <w:color w:val="auto"/>
                <w:szCs w:val="21"/>
                <w:highlight w:val="none"/>
              </w:rPr>
              <w:t>数量</w:t>
            </w:r>
          </w:p>
        </w:tc>
        <w:tc>
          <w:tcPr>
            <w:tcW w:w="1527" w:type="dxa"/>
            <w:tcBorders>
              <w:tl2br w:val="nil"/>
              <w:tr2bl w:val="nil"/>
            </w:tcBorders>
            <w:vAlign w:val="center"/>
          </w:tcPr>
          <w:p w14:paraId="6CB6FBD0">
            <w:pPr>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标的预算（元）</w:t>
            </w:r>
          </w:p>
        </w:tc>
        <w:tc>
          <w:tcPr>
            <w:tcW w:w="737" w:type="dxa"/>
            <w:tcBorders>
              <w:tl2br w:val="nil"/>
              <w:tr2bl w:val="nil"/>
            </w:tcBorders>
            <w:vAlign w:val="center"/>
          </w:tcPr>
          <w:p w14:paraId="42E74E54">
            <w:pPr>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节能产品</w:t>
            </w:r>
          </w:p>
        </w:tc>
        <w:tc>
          <w:tcPr>
            <w:tcW w:w="770" w:type="dxa"/>
            <w:tcBorders>
              <w:tl2br w:val="nil"/>
              <w:tr2bl w:val="nil"/>
            </w:tcBorders>
            <w:vAlign w:val="center"/>
          </w:tcPr>
          <w:p w14:paraId="3EB4B86B">
            <w:pPr>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进口产品</w:t>
            </w:r>
          </w:p>
        </w:tc>
      </w:tr>
      <w:tr w14:paraId="081C6B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7" w:hRule="atLeast"/>
        </w:trPr>
        <w:tc>
          <w:tcPr>
            <w:tcW w:w="864" w:type="dxa"/>
            <w:tcBorders>
              <w:tl2br w:val="nil"/>
              <w:tr2bl w:val="nil"/>
            </w:tcBorders>
            <w:vAlign w:val="center"/>
          </w:tcPr>
          <w:p w14:paraId="2DF189A9">
            <w:pPr>
              <w:adjustRightInd w:val="0"/>
              <w:snapToGrid w:val="0"/>
              <w:jc w:val="center"/>
              <w:rPr>
                <w:rFonts w:hint="eastAsia" w:ascii="Times New Roman" w:hAnsi="宋体" w:eastAsia="宋体" w:cs="Times New Roman"/>
                <w:color w:val="auto"/>
                <w:kern w:val="0"/>
                <w:highlight w:val="none"/>
              </w:rPr>
            </w:pPr>
            <w:r>
              <w:rPr>
                <w:rFonts w:hint="eastAsia" w:ascii="Times New Roman" w:hAnsi="宋体" w:eastAsia="宋体" w:cs="Times New Roman"/>
                <w:color w:val="auto"/>
                <w:kern w:val="0"/>
                <w:highlight w:val="none"/>
              </w:rPr>
              <w:t>包1</w:t>
            </w:r>
          </w:p>
        </w:tc>
        <w:tc>
          <w:tcPr>
            <w:tcW w:w="1190" w:type="dxa"/>
            <w:tcBorders>
              <w:tl2br w:val="nil"/>
              <w:tr2bl w:val="nil"/>
            </w:tcBorders>
            <w:vAlign w:val="center"/>
          </w:tcPr>
          <w:p w14:paraId="263AEDAA">
            <w:pPr>
              <w:adjustRightInd w:val="0"/>
              <w:snapToGrid w:val="0"/>
              <w:jc w:val="center"/>
              <w:rPr>
                <w:rFonts w:hint="eastAsia" w:ascii="Times New Roman" w:hAnsi="宋体" w:eastAsia="宋体" w:cs="Times New Roman"/>
                <w:color w:val="auto"/>
                <w:kern w:val="0"/>
                <w:highlight w:val="none"/>
              </w:rPr>
            </w:pPr>
            <w:r>
              <w:rPr>
                <w:rFonts w:hint="eastAsia" w:ascii="Times New Roman" w:hAnsi="宋体" w:eastAsia="宋体" w:cs="Times New Roman"/>
                <w:color w:val="auto"/>
                <w:kern w:val="0"/>
                <w:highlight w:val="none"/>
              </w:rPr>
              <w:t>4159542.00</w:t>
            </w:r>
          </w:p>
        </w:tc>
        <w:tc>
          <w:tcPr>
            <w:tcW w:w="1922" w:type="dxa"/>
            <w:tcBorders>
              <w:tl2br w:val="nil"/>
              <w:tr2bl w:val="nil"/>
            </w:tcBorders>
            <w:vAlign w:val="center"/>
          </w:tcPr>
          <w:p w14:paraId="3DBC615C">
            <w:pPr>
              <w:adjustRightInd w:val="0"/>
              <w:snapToGrid w:val="0"/>
              <w:jc w:val="center"/>
              <w:rPr>
                <w:rFonts w:hint="eastAsia" w:ascii="Times New Roman" w:hAnsi="宋体" w:eastAsia="宋体" w:cs="Times New Roman"/>
                <w:color w:val="auto"/>
                <w:kern w:val="0"/>
                <w:highlight w:val="none"/>
              </w:rPr>
            </w:pPr>
            <w:r>
              <w:rPr>
                <w:rFonts w:hint="eastAsia" w:ascii="Times New Roman" w:hAnsi="宋体" w:eastAsia="宋体" w:cs="Times New Roman"/>
                <w:color w:val="auto"/>
                <w:kern w:val="0"/>
                <w:highlight w:val="none"/>
              </w:rPr>
              <w:t>湖南化工职业技术学院生物医药与功能材料工程技术中心—仪器与配套设备购置项目</w:t>
            </w:r>
          </w:p>
        </w:tc>
        <w:tc>
          <w:tcPr>
            <w:tcW w:w="1800" w:type="dxa"/>
            <w:tcBorders>
              <w:tl2br w:val="nil"/>
              <w:tr2bl w:val="nil"/>
            </w:tcBorders>
            <w:vAlign w:val="center"/>
          </w:tcPr>
          <w:p w14:paraId="7EEFCEA6">
            <w:pPr>
              <w:adjustRightInd w:val="0"/>
              <w:snapToGrid w:val="0"/>
              <w:jc w:val="center"/>
              <w:rPr>
                <w:rFonts w:hint="eastAsia" w:ascii="Times New Roman" w:hAnsi="宋体" w:eastAsia="宋体" w:cs="Times New Roman"/>
                <w:color w:val="auto"/>
                <w:kern w:val="0"/>
                <w:highlight w:val="none"/>
              </w:rPr>
            </w:pPr>
            <w:r>
              <w:rPr>
                <w:rFonts w:hint="eastAsia" w:ascii="Times New Roman" w:hAnsi="宋体" w:eastAsia="宋体" w:cs="Times New Roman"/>
                <w:color w:val="auto"/>
                <w:kern w:val="0"/>
                <w:highlight w:val="none"/>
              </w:rPr>
              <w:t>详见第五章采购需求</w:t>
            </w:r>
          </w:p>
        </w:tc>
        <w:tc>
          <w:tcPr>
            <w:tcW w:w="797" w:type="dxa"/>
            <w:tcBorders>
              <w:tl2br w:val="nil"/>
              <w:tr2bl w:val="nil"/>
            </w:tcBorders>
            <w:vAlign w:val="center"/>
          </w:tcPr>
          <w:p w14:paraId="50D7BA67">
            <w:pPr>
              <w:adjustRightInd w:val="0"/>
              <w:snapToGrid w:val="0"/>
              <w:jc w:val="center"/>
              <w:rPr>
                <w:rFonts w:hint="eastAsia" w:ascii="Times New Roman" w:hAnsi="宋体" w:eastAsia="宋体" w:cs="Times New Roman"/>
                <w:color w:val="auto"/>
                <w:kern w:val="0"/>
                <w:highlight w:val="none"/>
              </w:rPr>
            </w:pPr>
            <w:r>
              <w:rPr>
                <w:rFonts w:hint="eastAsia" w:ascii="Times New Roman" w:hAnsi="宋体" w:eastAsia="宋体" w:cs="Times New Roman"/>
                <w:color w:val="auto"/>
                <w:kern w:val="0"/>
                <w:highlight w:val="none"/>
              </w:rPr>
              <w:t>1批</w:t>
            </w:r>
          </w:p>
        </w:tc>
        <w:tc>
          <w:tcPr>
            <w:tcW w:w="1527" w:type="dxa"/>
            <w:tcBorders>
              <w:tl2br w:val="nil"/>
              <w:tr2bl w:val="nil"/>
            </w:tcBorders>
            <w:vAlign w:val="center"/>
          </w:tcPr>
          <w:p w14:paraId="7F16E43F">
            <w:pPr>
              <w:adjustRightInd w:val="0"/>
              <w:snapToGrid w:val="0"/>
              <w:jc w:val="center"/>
              <w:rPr>
                <w:rFonts w:hint="eastAsia" w:ascii="Times New Roman" w:hAnsi="宋体" w:eastAsia="宋体" w:cs="Times New Roman"/>
                <w:color w:val="auto"/>
                <w:kern w:val="0"/>
                <w:highlight w:val="none"/>
              </w:rPr>
            </w:pPr>
            <w:r>
              <w:rPr>
                <w:rFonts w:hint="eastAsia" w:ascii="Times New Roman" w:hAnsi="宋体" w:eastAsia="宋体" w:cs="Times New Roman"/>
                <w:color w:val="auto"/>
                <w:kern w:val="0"/>
                <w:highlight w:val="none"/>
                <w:lang w:val="en-US" w:eastAsia="zh-CN"/>
              </w:rPr>
              <w:t>430</w:t>
            </w:r>
            <w:r>
              <w:rPr>
                <w:rFonts w:hint="eastAsia" w:ascii="Times New Roman" w:hAnsi="宋体" w:eastAsia="宋体" w:cs="Times New Roman"/>
                <w:color w:val="auto"/>
                <w:kern w:val="0"/>
                <w:highlight w:val="none"/>
              </w:rPr>
              <w:t>0000.00</w:t>
            </w:r>
          </w:p>
        </w:tc>
        <w:tc>
          <w:tcPr>
            <w:tcW w:w="737" w:type="dxa"/>
            <w:tcBorders>
              <w:tl2br w:val="nil"/>
              <w:tr2bl w:val="nil"/>
            </w:tcBorders>
            <w:vAlign w:val="center"/>
          </w:tcPr>
          <w:p w14:paraId="2C3F3521">
            <w:pPr>
              <w:adjustRightInd w:val="0"/>
              <w:snapToGrid w:val="0"/>
              <w:spacing w:before="161" w:beforeLines="50"/>
              <w:jc w:val="center"/>
              <w:rPr>
                <w:rFonts w:ascii="Times New Roman" w:hAnsi="Times New Roman" w:eastAsia="宋体" w:cs="Times New Roman"/>
                <w:color w:val="auto"/>
                <w:szCs w:val="21"/>
                <w:highlight w:val="none"/>
              </w:rPr>
            </w:pPr>
            <w:r>
              <w:rPr>
                <w:rFonts w:hint="eastAsia" w:ascii="宋体" w:hAnsi="宋体" w:eastAsia="宋体" w:cs="Times New Roman"/>
                <w:iCs/>
                <w:color w:val="auto"/>
                <w:szCs w:val="21"/>
                <w:highlight w:val="none"/>
              </w:rPr>
              <w:sym w:font="Wingdings" w:char="00A8"/>
            </w:r>
          </w:p>
        </w:tc>
        <w:tc>
          <w:tcPr>
            <w:tcW w:w="770" w:type="dxa"/>
            <w:tcBorders>
              <w:tl2br w:val="nil"/>
              <w:tr2bl w:val="nil"/>
            </w:tcBorders>
            <w:vAlign w:val="center"/>
          </w:tcPr>
          <w:p w14:paraId="0FE610BA">
            <w:pPr>
              <w:adjustRightInd w:val="0"/>
              <w:snapToGrid w:val="0"/>
              <w:spacing w:before="161" w:beforeLines="50"/>
              <w:jc w:val="center"/>
              <w:rPr>
                <w:rFonts w:ascii="Times New Roman" w:hAnsi="Times New Roman" w:eastAsia="宋体" w:cs="Times New Roman"/>
                <w:color w:val="auto"/>
                <w:szCs w:val="21"/>
                <w:highlight w:val="none"/>
              </w:rPr>
            </w:pPr>
            <w:r>
              <w:rPr>
                <w:rFonts w:hint="eastAsia" w:ascii="宋体" w:hAnsi="宋体" w:eastAsia="宋体" w:cs="Times New Roman"/>
                <w:iCs/>
                <w:color w:val="auto"/>
                <w:szCs w:val="21"/>
                <w:highlight w:val="none"/>
              </w:rPr>
              <w:sym w:font="Wingdings" w:char="00A8"/>
            </w:r>
          </w:p>
        </w:tc>
      </w:tr>
    </w:tbl>
    <w:p w14:paraId="4566A5A4">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说明：</w:t>
      </w:r>
    </w:p>
    <w:p w14:paraId="0DED664A">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1.节能产品实行</w:t>
      </w:r>
      <w:r>
        <w:rPr>
          <w:rFonts w:hint="eastAsia" w:ascii="宋体" w:hAnsi="宋体" w:eastAsia="宋体" w:cs="Times New Roman"/>
          <w:iCs/>
          <w:szCs w:val="21"/>
        </w:rPr>
        <w:t>强制采购的</w:t>
      </w:r>
      <w:r>
        <w:rPr>
          <w:rFonts w:hint="eastAsia" w:ascii="宋体" w:hAnsi="宋体" w:eastAsia="宋体" w:cs="Times New Roman"/>
          <w:szCs w:val="21"/>
        </w:rPr>
        <w:t>，需提供国家认证机构出具的、处于有效期内的节能产品证书。</w:t>
      </w:r>
    </w:p>
    <w:p w14:paraId="6779D2F6">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2.同意购买进口产品的，不限制满足采购需求的国内产品参与投标。</w:t>
      </w:r>
    </w:p>
    <w:p w14:paraId="479F1C68">
      <w:pPr>
        <w:adjustRightInd w:val="0"/>
        <w:snapToGrid w:val="0"/>
        <w:spacing w:line="360" w:lineRule="auto"/>
        <w:ind w:firstLine="422" w:firstLineChars="200"/>
        <w:rPr>
          <w:rFonts w:hint="eastAsia" w:ascii="宋体" w:hAnsi="宋体" w:eastAsia="宋体" w:cs="Times New Roman"/>
          <w:b/>
          <w:szCs w:val="21"/>
        </w:rPr>
      </w:pPr>
      <w:r>
        <w:rPr>
          <w:rFonts w:hint="eastAsia" w:ascii="宋体" w:hAnsi="宋体" w:eastAsia="宋体" w:cs="Times New Roman"/>
          <w:b/>
          <w:szCs w:val="21"/>
        </w:rPr>
        <w:t>三、采购项目需落实的政府采购政策</w:t>
      </w:r>
      <w:r>
        <w:rPr>
          <w:rFonts w:hint="eastAsia" w:ascii="宋体" w:hAnsi="宋体" w:eastAsia="宋体" w:cs="Times New Roman"/>
          <w:szCs w:val="21"/>
        </w:rPr>
        <w:t>：</w:t>
      </w:r>
    </w:p>
    <w:p w14:paraId="3E1190FB">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1、优先采购：节能产品、环境标志产品享受加分或价格折扣。</w:t>
      </w:r>
    </w:p>
    <w:p w14:paraId="42F3C6CC">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2、支持中小企业：中小企业享受预留采购份额或价格折扣。</w:t>
      </w:r>
    </w:p>
    <w:p w14:paraId="1D1E633E">
      <w:pPr>
        <w:adjustRightInd w:val="0"/>
        <w:snapToGrid w:val="0"/>
        <w:spacing w:line="360" w:lineRule="auto"/>
        <w:ind w:firstLine="422" w:firstLineChars="200"/>
        <w:rPr>
          <w:rFonts w:hint="eastAsia" w:ascii="宋体" w:hAnsi="宋体" w:eastAsia="宋体" w:cs="Times New Roman"/>
          <w:szCs w:val="21"/>
        </w:rPr>
      </w:pPr>
      <w:r>
        <w:rPr>
          <w:rFonts w:hint="eastAsia" w:ascii="宋体" w:hAnsi="宋体" w:eastAsia="宋体" w:cs="Times New Roman"/>
          <w:b/>
          <w:szCs w:val="21"/>
        </w:rPr>
        <w:t>四、投标人的资格要求</w:t>
      </w:r>
      <w:r>
        <w:rPr>
          <w:rFonts w:hint="eastAsia" w:ascii="宋体" w:hAnsi="宋体" w:eastAsia="宋体" w:cs="Times New Roman"/>
          <w:szCs w:val="21"/>
        </w:rPr>
        <w:t>：</w:t>
      </w:r>
    </w:p>
    <w:p w14:paraId="31D200EA">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w:t>
      </w:r>
      <w:bookmarkStart w:id="14" w:name="OLE_LINK176"/>
      <w:r>
        <w:rPr>
          <w:rFonts w:hint="eastAsia" w:ascii="宋体" w:hAnsi="宋体" w:eastAsia="宋体" w:cs="Times New Roman"/>
          <w:szCs w:val="21"/>
        </w:rPr>
        <w:t>投标人的基本资格条件：投标人必须是在中华人民共和国境内注册登记的法人、其他组织或者自然人，且应当符合《政府采购法》第二十二条第一款的规定。</w:t>
      </w:r>
      <w:bookmarkEnd w:id="14"/>
    </w:p>
    <w:p w14:paraId="6079DE1B">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2、落实政府采购政策需满足的资格要求：</w:t>
      </w:r>
    </w:p>
    <w:p w14:paraId="3E4AAE7D">
      <w:pPr>
        <w:adjustRightInd w:val="0"/>
        <w:snapToGrid w:val="0"/>
        <w:spacing w:line="360" w:lineRule="auto"/>
        <w:ind w:firstLine="630" w:firstLineChars="300"/>
        <w:rPr>
          <w:rFonts w:hint="eastAsia" w:ascii="宋体" w:hAnsi="宋体" w:eastAsia="宋体" w:cs="Times New Roman"/>
          <w:szCs w:val="21"/>
        </w:rPr>
      </w:pPr>
      <w:r>
        <w:rPr>
          <w:rFonts w:hint="eastAsia" w:ascii="宋体" w:hAnsi="宋体" w:eastAsia="宋体" w:cs="Times New Roman"/>
          <w:iCs/>
          <w:szCs w:val="21"/>
        </w:rPr>
        <w:sym w:font="Wingdings" w:char="00A8"/>
      </w:r>
      <w:r>
        <w:rPr>
          <w:rFonts w:hint="eastAsia" w:ascii="宋体" w:hAnsi="宋体" w:eastAsia="宋体" w:cs="Times New Roman"/>
          <w:iCs/>
          <w:szCs w:val="21"/>
        </w:rPr>
        <w:t>专门面向</w:t>
      </w:r>
      <w:r>
        <w:rPr>
          <w:rFonts w:hint="eastAsia" w:ascii="宋体" w:hAnsi="宋体" w:eastAsia="宋体" w:cs="Times New Roman"/>
          <w:bCs/>
          <w:szCs w:val="21"/>
        </w:rPr>
        <w:t>：</w:t>
      </w:r>
      <w:r>
        <w:rPr>
          <w:rFonts w:hint="eastAsia" w:ascii="宋体" w:hAnsi="宋体" w:eastAsia="宋体" w:cs="Times New Roman"/>
          <w:iCs/>
          <w:szCs w:val="21"/>
        </w:rPr>
        <w:sym w:font="Wingdings" w:char="00A8"/>
      </w:r>
      <w:r>
        <w:rPr>
          <w:rFonts w:hint="eastAsia" w:ascii="宋体" w:hAnsi="宋体" w:eastAsia="宋体" w:cs="Times New Roman"/>
          <w:iCs/>
          <w:szCs w:val="21"/>
        </w:rPr>
        <w:t xml:space="preserve">中小企业  </w:t>
      </w:r>
      <w:r>
        <w:rPr>
          <w:rFonts w:hint="eastAsia" w:ascii="宋体" w:hAnsi="宋体" w:eastAsia="宋体" w:cs="Times New Roman"/>
          <w:iCs/>
          <w:szCs w:val="21"/>
        </w:rPr>
        <w:sym w:font="Wingdings" w:char="00A8"/>
      </w:r>
      <w:r>
        <w:rPr>
          <w:rFonts w:hint="eastAsia" w:ascii="宋体" w:hAnsi="宋体" w:eastAsia="宋体" w:cs="Times New Roman"/>
          <w:iCs/>
          <w:szCs w:val="21"/>
        </w:rPr>
        <w:t xml:space="preserve">小微企业 </w:t>
      </w:r>
      <w:r>
        <w:rPr>
          <w:rFonts w:hint="eastAsia" w:ascii="宋体" w:hAnsi="宋体" w:eastAsia="宋体" w:cs="Times New Roman"/>
          <w:iCs/>
          <w:szCs w:val="21"/>
        </w:rPr>
        <w:sym w:font="Wingdings" w:char="00A8"/>
      </w:r>
      <w:r>
        <w:rPr>
          <w:rFonts w:hint="eastAsia" w:ascii="宋体" w:hAnsi="宋体" w:eastAsia="宋体" w:cs="Times New Roman"/>
          <w:iCs/>
          <w:szCs w:val="21"/>
        </w:rPr>
        <w:t xml:space="preserve">监狱企业 </w:t>
      </w:r>
      <w:r>
        <w:rPr>
          <w:rFonts w:hint="eastAsia" w:ascii="宋体" w:hAnsi="宋体" w:eastAsia="宋体" w:cs="Times New Roman"/>
          <w:iCs/>
          <w:szCs w:val="21"/>
        </w:rPr>
        <w:sym w:font="Wingdings" w:char="00A8"/>
      </w:r>
      <w:r>
        <w:rPr>
          <w:rFonts w:hint="eastAsia" w:ascii="宋体" w:hAnsi="宋体" w:eastAsia="宋体" w:cs="Times New Roman"/>
          <w:iCs/>
          <w:szCs w:val="21"/>
        </w:rPr>
        <w:t>福利性单位。</w:t>
      </w:r>
    </w:p>
    <w:p w14:paraId="5214D4D7">
      <w:pPr>
        <w:adjustRightInd w:val="0"/>
        <w:snapToGrid w:val="0"/>
        <w:spacing w:line="360" w:lineRule="auto"/>
        <w:ind w:firstLine="630" w:firstLineChars="300"/>
        <w:rPr>
          <w:rFonts w:hint="eastAsia" w:ascii="宋体" w:hAnsi="宋体" w:eastAsia="宋体" w:cs="Times New Roman"/>
          <w:bCs/>
          <w:szCs w:val="21"/>
        </w:rPr>
      </w:pPr>
      <w:r>
        <w:rPr>
          <w:rFonts w:hint="eastAsia" w:ascii="宋体" w:hAnsi="宋体" w:eastAsia="宋体" w:cs="Times New Roman"/>
          <w:iCs/>
          <w:szCs w:val="21"/>
        </w:rPr>
        <w:sym w:font="Wingdings" w:char="00A8"/>
      </w:r>
      <w:r>
        <w:rPr>
          <w:rFonts w:hint="eastAsia" w:ascii="宋体" w:hAnsi="宋体" w:eastAsia="宋体" w:cs="Times New Roman"/>
          <w:iCs/>
          <w:szCs w:val="21"/>
        </w:rPr>
        <w:t>强制</w:t>
      </w:r>
      <w:r>
        <w:rPr>
          <w:rFonts w:hint="eastAsia" w:ascii="宋体" w:hAnsi="宋体" w:eastAsia="宋体" w:cs="Times New Roman"/>
          <w:bCs/>
          <w:szCs w:val="21"/>
        </w:rPr>
        <w:t>分包：大型企业应将采购份额的</w:t>
      </w:r>
      <w:r>
        <w:rPr>
          <w:rFonts w:hint="eastAsia" w:ascii="宋体" w:hAnsi="宋体" w:eastAsia="宋体" w:cs="Times New Roman"/>
          <w:bCs/>
          <w:szCs w:val="21"/>
          <w:u w:val="single"/>
        </w:rPr>
        <w:t xml:space="preserve">     /    </w:t>
      </w:r>
      <w:r>
        <w:rPr>
          <w:rFonts w:hint="eastAsia" w:ascii="宋体" w:hAnsi="宋体" w:eastAsia="宋体" w:cs="Times New Roman"/>
          <w:bCs/>
          <w:szCs w:val="21"/>
        </w:rPr>
        <w:t>%分包给中小企业。</w:t>
      </w:r>
    </w:p>
    <w:p w14:paraId="0436175F">
      <w:pPr>
        <w:numPr>
          <w:ilvl w:val="0"/>
          <w:numId w:val="1"/>
        </w:num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采购项目的特定资格条件：</w:t>
      </w:r>
    </w:p>
    <w:p w14:paraId="2A2B5421">
      <w:pPr>
        <w:adjustRightInd w:val="0"/>
        <w:snapToGrid w:val="0"/>
        <w:spacing w:line="360" w:lineRule="auto"/>
        <w:ind w:firstLine="840" w:firstLineChars="400"/>
        <w:rPr>
          <w:rFonts w:hint="eastAsia" w:ascii="宋体" w:hAnsi="宋体" w:eastAsia="宋体" w:cs="Times New Roman"/>
          <w:szCs w:val="21"/>
        </w:rPr>
      </w:pPr>
      <w:bookmarkStart w:id="15" w:name="OLE_LINK175"/>
      <w:bookmarkStart w:id="16" w:name="OLE_LINK173"/>
      <w:r>
        <w:rPr>
          <w:rFonts w:hint="eastAsia" w:ascii="宋体" w:hAnsi="宋体" w:eastAsia="宋体" w:cs="Times New Roman"/>
          <w:szCs w:val="21"/>
        </w:rPr>
        <w:t>无</w:t>
      </w:r>
      <w:bookmarkEnd w:id="15"/>
      <w:r>
        <w:rPr>
          <w:rFonts w:hint="eastAsia" w:ascii="宋体" w:hAnsi="宋体" w:eastAsia="宋体" w:cs="Times New Roman"/>
          <w:szCs w:val="21"/>
        </w:rPr>
        <w:t>。</w:t>
      </w:r>
      <w:bookmarkEnd w:id="16"/>
    </w:p>
    <w:p w14:paraId="5B474DCE">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4、单位负责人为同一人或者存在直接控股、管理关系的不同投标人，不得参加同一合同项下的政府采购活动。</w:t>
      </w:r>
    </w:p>
    <w:p w14:paraId="5980AD2E">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5、为本采购项目提供整体设计、规范编制或者项目管理、监理、检测等服务的，不得再参加此项目的其他采购活动。</w:t>
      </w:r>
    </w:p>
    <w:p w14:paraId="38809348">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6、列入失信被执行人、重大税收违法失信主体名单、政府采购严重违法失信行为记录名单的，拒绝其参与政府采购活动。</w:t>
      </w:r>
    </w:p>
    <w:p w14:paraId="379EF544">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7、联合体投标。本次招标</w:t>
      </w:r>
      <w:r>
        <w:rPr>
          <w:rFonts w:hint="eastAsia" w:ascii="宋体" w:hAnsi="宋体" w:eastAsia="宋体" w:cs="Times New Roman"/>
          <w:szCs w:val="21"/>
          <w:u w:val="single"/>
        </w:rPr>
        <w:t xml:space="preserve"> 不接受 </w:t>
      </w:r>
      <w:r>
        <w:rPr>
          <w:rFonts w:hint="eastAsia" w:ascii="宋体" w:hAnsi="宋体" w:eastAsia="宋体" w:cs="Times New Roman"/>
          <w:szCs w:val="21"/>
        </w:rPr>
        <w:t>联合体投标。</w:t>
      </w:r>
    </w:p>
    <w:p w14:paraId="68340FD0">
      <w:pPr>
        <w:adjustRightInd w:val="0"/>
        <w:snapToGrid w:val="0"/>
        <w:spacing w:line="360" w:lineRule="auto"/>
        <w:ind w:firstLine="422" w:firstLineChars="200"/>
        <w:rPr>
          <w:rFonts w:hint="eastAsia" w:ascii="宋体" w:hAnsi="宋体" w:eastAsia="宋体" w:cs="Times New Roman"/>
          <w:b/>
          <w:szCs w:val="21"/>
        </w:rPr>
      </w:pPr>
      <w:r>
        <w:rPr>
          <w:rFonts w:hint="eastAsia" w:ascii="宋体" w:hAnsi="宋体" w:eastAsia="宋体" w:cs="Times New Roman"/>
          <w:b/>
          <w:szCs w:val="21"/>
        </w:rPr>
        <w:t>五、获取招标文件的时间、期限、地点及方式</w:t>
      </w:r>
    </w:p>
    <w:p w14:paraId="304F7DCC">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hint="eastAsia" w:ascii="宋体" w:hAnsi="宋体" w:eastAsia="宋体" w:cs="Times New Roman"/>
          <w:szCs w:val="21"/>
        </w:rPr>
      </w:pPr>
      <w:r>
        <w:rPr>
          <w:rFonts w:hint="eastAsia" w:ascii="宋体" w:hAnsi="宋体" w:eastAsia="宋体" w:cs="微软雅黑"/>
          <w:kern w:val="0"/>
          <w:szCs w:val="21"/>
        </w:rPr>
        <w:t>有意参加投标者，于</w:t>
      </w:r>
      <w:bookmarkStart w:id="17" w:name="OLE_LINK101"/>
      <w:r>
        <w:rPr>
          <w:rFonts w:hint="eastAsia" w:ascii="宋体" w:hAnsi="宋体" w:eastAsia="宋体" w:cs="Times New Roman"/>
          <w:szCs w:val="21"/>
          <w:u w:val="single"/>
        </w:rPr>
        <w:t>2026</w:t>
      </w:r>
      <w:r>
        <w:rPr>
          <w:rFonts w:hint="eastAsia" w:ascii="宋体" w:hAnsi="宋体" w:eastAsia="宋体" w:cs="Times New Roman"/>
          <w:szCs w:val="21"/>
        </w:rPr>
        <w:t>年</w:t>
      </w:r>
      <w:bookmarkStart w:id="18" w:name="OLE_LINK38"/>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8</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24</w:t>
      </w:r>
      <w:r>
        <w:rPr>
          <w:rFonts w:hint="eastAsia" w:ascii="宋体" w:hAnsi="宋体" w:eastAsia="宋体" w:cs="Times New Roman"/>
          <w:szCs w:val="21"/>
          <w:u w:val="single"/>
        </w:rPr>
        <w:t xml:space="preserve">  </w:t>
      </w:r>
      <w:r>
        <w:rPr>
          <w:rFonts w:hint="eastAsia" w:ascii="宋体" w:hAnsi="宋体" w:eastAsia="宋体" w:cs="Times New Roman"/>
          <w:szCs w:val="21"/>
        </w:rPr>
        <w:t>日</w:t>
      </w:r>
      <w:bookmarkEnd w:id="17"/>
      <w:bookmarkEnd w:id="18"/>
      <w:r>
        <w:rPr>
          <w:rFonts w:hint="eastAsia" w:ascii="宋体" w:hAnsi="宋体" w:eastAsia="宋体" w:cs="微软雅黑"/>
          <w:kern w:val="0"/>
          <w:szCs w:val="21"/>
        </w:rPr>
        <w:t>至</w:t>
      </w:r>
      <w:r>
        <w:rPr>
          <w:rFonts w:hint="eastAsia" w:ascii="宋体" w:hAnsi="宋体" w:eastAsia="宋体" w:cs="Times New Roman"/>
          <w:szCs w:val="21"/>
          <w:u w:val="single"/>
        </w:rPr>
        <w:t>2026</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8</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31</w:t>
      </w:r>
      <w:r>
        <w:rPr>
          <w:rFonts w:hint="eastAsia" w:ascii="宋体" w:hAnsi="宋体" w:eastAsia="宋体" w:cs="Times New Roman"/>
          <w:szCs w:val="21"/>
          <w:u w:val="single"/>
        </w:rPr>
        <w:t xml:space="preserve">  </w:t>
      </w:r>
      <w:r>
        <w:rPr>
          <w:rFonts w:hint="eastAsia" w:ascii="宋体" w:hAnsi="宋体" w:eastAsia="宋体" w:cs="Times New Roman"/>
          <w:szCs w:val="21"/>
        </w:rPr>
        <w:t>日</w:t>
      </w:r>
      <w:r>
        <w:rPr>
          <w:rFonts w:hint="eastAsia" w:ascii="宋体" w:hAnsi="宋体" w:eastAsia="宋体" w:cs="微软雅黑"/>
          <w:kern w:val="0"/>
          <w:szCs w:val="21"/>
        </w:rPr>
        <w:t>，</w:t>
      </w:r>
      <w:r>
        <w:rPr>
          <w:rFonts w:hint="eastAsia" w:ascii="宋体" w:hAnsi="宋体" w:eastAsia="宋体" w:cs="Times New Roman"/>
          <w:szCs w:val="21"/>
          <w:u w:val="single"/>
        </w:rPr>
        <w:t>0：00-24：00</w:t>
      </w:r>
      <w:r>
        <w:rPr>
          <w:rFonts w:hint="eastAsia" w:ascii="宋体" w:hAnsi="宋体" w:eastAsia="宋体" w:cs="微软雅黑"/>
          <w:kern w:val="0"/>
          <w:szCs w:val="21"/>
        </w:rPr>
        <w:t>， 在</w:t>
      </w:r>
      <w:r>
        <w:rPr>
          <w:rFonts w:hint="eastAsia" w:ascii="宋体" w:hAnsi="宋体" w:eastAsia="宋体" w:cs="Times New Roman"/>
          <w:szCs w:val="21"/>
        </w:rPr>
        <w:t>湖南省公共资源交易服务平台株洲分平台——交易快速通道——政府采购——湖南省公共资源交易服务平台株洲分平台——填写投标信息——选择对应项目报名。也可直接登陆湖南省公共资源交易服务平台株洲分平台（https://zhuzhou.hnsggzy.com/）报名。</w:t>
      </w:r>
    </w:p>
    <w:p w14:paraId="7499CFC7">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hint="eastAsia" w:ascii="宋体" w:hAnsi="宋体" w:eastAsia="宋体" w:cs="微软雅黑"/>
          <w:kern w:val="0"/>
          <w:szCs w:val="21"/>
        </w:rPr>
      </w:pPr>
      <w:r>
        <w:rPr>
          <w:rFonts w:hint="eastAsia" w:ascii="宋体" w:hAnsi="宋体" w:eastAsia="宋体" w:cs="Times New Roman"/>
          <w:szCs w:val="21"/>
        </w:rPr>
        <w:sym w:font="Wingdings" w:char="00FE"/>
      </w:r>
      <w:r>
        <w:rPr>
          <w:rFonts w:hint="eastAsia" w:ascii="宋体" w:hAnsi="宋体" w:eastAsia="宋体" w:cs="微软雅黑"/>
          <w:kern w:val="0"/>
          <w:szCs w:val="21"/>
        </w:rPr>
        <w:t>本项目实行电子交易，有意参加投标者，在</w:t>
      </w:r>
      <w:r>
        <w:rPr>
          <w:rFonts w:hint="eastAsia" w:ascii="宋体" w:hAnsi="宋体" w:eastAsia="宋体" w:cs="Times New Roman"/>
          <w:szCs w:val="21"/>
        </w:rPr>
        <w:t>湖南省公共资源交易服务平台株洲分平台——交易快速通道——政府采购——湖南省公共资源交易服务平台株洲分平台——填写投标信息——选择对应项目报名，也可直接</w:t>
      </w:r>
      <w:bookmarkStart w:id="19" w:name="OLE_LINK136"/>
      <w:r>
        <w:rPr>
          <w:rFonts w:hint="eastAsia" w:ascii="宋体" w:hAnsi="宋体" w:eastAsia="宋体" w:cs="Times New Roman"/>
          <w:szCs w:val="21"/>
        </w:rPr>
        <w:t>登陆湖南省公共资源交易服务平台株洲分平台（https://zhuzhou.hnsggzy.com/）报名，</w:t>
      </w:r>
      <w:r>
        <w:rPr>
          <w:rFonts w:hint="eastAsia" w:ascii="宋体" w:hAnsi="宋体" w:eastAsia="宋体" w:cs="微软雅黑"/>
          <w:kern w:val="0"/>
          <w:szCs w:val="21"/>
        </w:rPr>
        <w:t>获取电子版招标文件。</w:t>
      </w:r>
      <w:bookmarkEnd w:id="19"/>
    </w:p>
    <w:p w14:paraId="4BC4E8DF">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ascii="Times New Roman" w:hAnsi="Times New Roman" w:eastAsia="宋体" w:cs="Times New Roman"/>
        </w:rPr>
      </w:pPr>
      <w:r>
        <w:rPr>
          <w:rFonts w:hint="eastAsia" w:ascii="宋体" w:hAnsi="宋体" w:eastAsia="宋体" w:cs="Times New Roman"/>
          <w:iCs/>
          <w:szCs w:val="21"/>
        </w:rPr>
        <w:sym w:font="Wingdings" w:char="00A8"/>
      </w:r>
      <w:r>
        <w:rPr>
          <w:rFonts w:hint="eastAsia" w:ascii="宋体" w:hAnsi="宋体" w:eastAsia="宋体" w:cs="微软雅黑"/>
          <w:kern w:val="0"/>
          <w:szCs w:val="21"/>
        </w:rPr>
        <w:t>本项目进行资格预审，招标文件将向所有通过资格预审的供应商提供。</w:t>
      </w:r>
    </w:p>
    <w:p w14:paraId="5C269C49">
      <w:pPr>
        <w:adjustRightInd w:val="0"/>
        <w:snapToGrid w:val="0"/>
        <w:spacing w:line="360" w:lineRule="auto"/>
        <w:ind w:firstLine="422" w:firstLineChars="200"/>
        <w:rPr>
          <w:rFonts w:hint="eastAsia" w:ascii="宋体" w:hAnsi="宋体" w:eastAsia="宋体" w:cs="Times New Roman"/>
          <w:b/>
          <w:szCs w:val="21"/>
        </w:rPr>
      </w:pPr>
      <w:r>
        <w:rPr>
          <w:rFonts w:hint="eastAsia" w:ascii="宋体" w:hAnsi="宋体" w:eastAsia="宋体" w:cs="Times New Roman"/>
          <w:b/>
          <w:szCs w:val="21"/>
        </w:rPr>
        <w:t>六、投标截止时间、开标时间及地点</w:t>
      </w:r>
    </w:p>
    <w:p w14:paraId="50467E3A">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1、提交投标文件的截止时间：</w:t>
      </w:r>
      <w:bookmarkStart w:id="20" w:name="OLE_LINK102"/>
      <w:r>
        <w:rPr>
          <w:rFonts w:hint="eastAsia" w:ascii="宋体" w:hAnsi="宋体" w:eastAsia="宋体" w:cs="Times New Roman"/>
          <w:szCs w:val="21"/>
          <w:u w:val="single"/>
        </w:rPr>
        <w:t>2026</w:t>
      </w:r>
      <w:r>
        <w:rPr>
          <w:rFonts w:hint="eastAsia" w:ascii="宋体" w:hAnsi="宋体" w:eastAsia="宋体" w:cs="Times New Roman"/>
          <w:szCs w:val="21"/>
        </w:rPr>
        <w:t>年</w:t>
      </w:r>
      <w:bookmarkEnd w:id="20"/>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9</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15</w:t>
      </w:r>
      <w:r>
        <w:rPr>
          <w:rFonts w:hint="eastAsia" w:ascii="宋体" w:hAnsi="宋体" w:eastAsia="宋体" w:cs="Times New Roman"/>
          <w:szCs w:val="21"/>
          <w:u w:val="single"/>
        </w:rPr>
        <w:t xml:space="preserve">  </w:t>
      </w:r>
      <w:r>
        <w:rPr>
          <w:rFonts w:hint="eastAsia" w:ascii="宋体" w:hAnsi="宋体" w:eastAsia="宋体" w:cs="Times New Roman"/>
          <w:szCs w:val="21"/>
        </w:rPr>
        <w:t>日</w:t>
      </w:r>
      <w:r>
        <w:rPr>
          <w:rFonts w:hint="eastAsia" w:ascii="宋体" w:hAnsi="宋体" w:eastAsia="宋体" w:cs="Times New Roman"/>
          <w:szCs w:val="21"/>
          <w:u w:val="single"/>
        </w:rPr>
        <w:t xml:space="preserve"> 9 ：00</w:t>
      </w:r>
      <w:r>
        <w:rPr>
          <w:rFonts w:hint="eastAsia" w:ascii="宋体" w:hAnsi="宋体" w:eastAsia="宋体" w:cs="Times New Roman"/>
          <w:szCs w:val="21"/>
        </w:rPr>
        <w:t>（北京时间）</w:t>
      </w:r>
    </w:p>
    <w:p w14:paraId="3B654B84">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2、提交投标文件地点：</w:t>
      </w:r>
      <w:bookmarkStart w:id="21" w:name="OLE_LINK172"/>
      <w:bookmarkStart w:id="22" w:name="OLE_LINK137"/>
      <w:r>
        <w:rPr>
          <w:rFonts w:hint="eastAsia" w:ascii="宋体" w:hAnsi="宋体" w:eastAsia="宋体" w:cs="Times New Roman"/>
          <w:szCs w:val="21"/>
          <w:u w:val="single"/>
        </w:rPr>
        <w:t>湖南省公共资源交易服务平台株洲分平台</w:t>
      </w:r>
      <w:bookmarkEnd w:id="21"/>
      <w:r>
        <w:rPr>
          <w:rFonts w:hint="eastAsia" w:ascii="宋体" w:hAnsi="宋体" w:eastAsia="宋体" w:cs="Times New Roman"/>
          <w:szCs w:val="21"/>
          <w:u w:val="single"/>
        </w:rPr>
        <w:t>（https：//zhuzhou.hnsggzy.com），请投标人在 “操作指南-下载中心”下载“新点投标文件制作软件（湖南省公共资源版）”编制投标文件，投标人应在投标截止时间前通过电子交易系统递交数据电文形式的投标文件。逾期送达的投标文件，电子交易系统予以拒收。</w:t>
      </w:r>
      <w:bookmarkEnd w:id="22"/>
      <w:r>
        <w:rPr>
          <w:rFonts w:hint="eastAsia" w:ascii="宋体" w:hAnsi="宋体" w:eastAsia="宋体" w:cs="Times New Roman"/>
          <w:szCs w:val="21"/>
        </w:rPr>
        <w:t xml:space="preserve"> </w:t>
      </w:r>
    </w:p>
    <w:p w14:paraId="380ED5A1">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3、开标时间：</w:t>
      </w:r>
      <w:r>
        <w:rPr>
          <w:rFonts w:hint="eastAsia" w:ascii="宋体" w:hAnsi="宋体" w:eastAsia="宋体" w:cs="Times New Roman"/>
          <w:szCs w:val="21"/>
          <w:u w:val="single"/>
        </w:rPr>
        <w:t>2026</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9</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15</w:t>
      </w:r>
      <w:r>
        <w:rPr>
          <w:rFonts w:hint="eastAsia" w:ascii="宋体" w:hAnsi="宋体" w:eastAsia="宋体" w:cs="Times New Roman"/>
          <w:szCs w:val="21"/>
          <w:u w:val="single"/>
        </w:rPr>
        <w:t xml:space="preserve">  </w:t>
      </w:r>
      <w:r>
        <w:rPr>
          <w:rFonts w:hint="eastAsia" w:ascii="宋体" w:hAnsi="宋体" w:eastAsia="宋体" w:cs="Times New Roman"/>
          <w:szCs w:val="21"/>
        </w:rPr>
        <w:t>日</w:t>
      </w:r>
      <w:r>
        <w:rPr>
          <w:rFonts w:hint="eastAsia" w:ascii="宋体" w:hAnsi="宋体" w:eastAsia="宋体" w:cs="Times New Roman"/>
          <w:szCs w:val="21"/>
          <w:u w:val="single"/>
        </w:rPr>
        <w:t xml:space="preserve"> 9  ：00</w:t>
      </w:r>
      <w:r>
        <w:rPr>
          <w:rFonts w:hint="eastAsia" w:ascii="宋体" w:hAnsi="宋体" w:eastAsia="宋体" w:cs="Times New Roman"/>
          <w:szCs w:val="21"/>
        </w:rPr>
        <w:t>（北京时间）</w:t>
      </w:r>
    </w:p>
    <w:p w14:paraId="2C2650B0">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4、开标地点：</w:t>
      </w:r>
      <w:bookmarkStart w:id="23" w:name="OLE_LINK138"/>
      <w:r>
        <w:rPr>
          <w:rFonts w:hint="eastAsia" w:ascii="宋体" w:hAnsi="宋体" w:eastAsia="宋体" w:cs="Times New Roman"/>
          <w:szCs w:val="21"/>
          <w:u w:val="single"/>
        </w:rPr>
        <w:t>本项目实行“不见面开标”方式，投标人无需到开标现场，请投标人提前配置好解密电脑和软件环境，在规定时间内使用制作投标文件时的 CA 锁登录“不见面开标大厅：湖南省公共资源交易服务平台株洲分平台（https：//zhuzhou.hnsggzy.com）——智慧服务大厅——开标与电子竞价直播”解密投标文件。</w:t>
      </w:r>
      <w:bookmarkEnd w:id="23"/>
    </w:p>
    <w:p w14:paraId="54F2498D">
      <w:pPr>
        <w:adjustRightInd w:val="0"/>
        <w:snapToGrid w:val="0"/>
        <w:spacing w:line="360" w:lineRule="auto"/>
        <w:ind w:firstLine="422" w:firstLineChars="200"/>
        <w:rPr>
          <w:rFonts w:hint="eastAsia" w:ascii="宋体" w:hAnsi="宋体" w:eastAsia="宋体" w:cs="Times New Roman"/>
          <w:szCs w:val="21"/>
        </w:rPr>
      </w:pPr>
      <w:r>
        <w:rPr>
          <w:rFonts w:hint="eastAsia" w:ascii="宋体" w:hAnsi="宋体" w:eastAsia="宋体" w:cs="Times New Roman"/>
          <w:b/>
          <w:szCs w:val="21"/>
        </w:rPr>
        <w:t>七、公告期限</w:t>
      </w:r>
      <w:r>
        <w:rPr>
          <w:rFonts w:hint="eastAsia" w:ascii="宋体" w:hAnsi="宋体" w:eastAsia="宋体" w:cs="Times New Roman"/>
          <w:szCs w:val="21"/>
        </w:rPr>
        <w:t>：</w:t>
      </w:r>
    </w:p>
    <w:p w14:paraId="6DFC895A">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1、本招标公告在中国湖南政府采购网（www.ccgp-hunan.gov.cn）发布。公告期限从本招标公告发布之日起5个工作日。</w:t>
      </w:r>
    </w:p>
    <w:p w14:paraId="0C2E2774">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2、在其他媒体发布的招标公告，公告内容以本招标公告指定媒体发布的公告为准；公告期限自本招标公告指定媒体最先发布公告之日起算。</w:t>
      </w:r>
    </w:p>
    <w:p w14:paraId="61AC3407">
      <w:pPr>
        <w:adjustRightInd w:val="0"/>
        <w:snapToGrid w:val="0"/>
        <w:spacing w:line="360" w:lineRule="auto"/>
        <w:ind w:firstLine="422" w:firstLineChars="200"/>
        <w:rPr>
          <w:rFonts w:hint="eastAsia" w:ascii="宋体" w:hAnsi="宋体" w:eastAsia="宋体" w:cs="Times New Roman"/>
          <w:szCs w:val="21"/>
        </w:rPr>
      </w:pPr>
      <w:r>
        <w:rPr>
          <w:rFonts w:hint="eastAsia" w:ascii="宋体" w:hAnsi="宋体" w:eastAsia="宋体" w:cs="Times New Roman"/>
          <w:b/>
          <w:szCs w:val="21"/>
        </w:rPr>
        <w:t>八、询问及质疑</w:t>
      </w:r>
      <w:r>
        <w:rPr>
          <w:rFonts w:hint="eastAsia" w:ascii="宋体" w:hAnsi="宋体" w:eastAsia="宋体" w:cs="Times New Roman"/>
          <w:szCs w:val="21"/>
        </w:rPr>
        <w:t>：</w:t>
      </w:r>
    </w:p>
    <w:p w14:paraId="2654D4CD">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1、投标人对政府采购活动事项如有疑问的，可以向采购人、采购代理机构提出询问。采购人、采购代理机构将在3个工作日内作出答复。</w:t>
      </w:r>
    </w:p>
    <w:p w14:paraId="1F74714D">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2、投标人对电子交易平台办理CA证书、操作等如有疑问，请咨询电子交易平台服务机构。</w:t>
      </w:r>
    </w:p>
    <w:p w14:paraId="512B4C9F">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3、</w:t>
      </w:r>
      <w:r>
        <w:rPr>
          <w:rFonts w:hint="eastAsia" w:ascii="宋体" w:hAnsi="宋体" w:eastAsia="宋体" w:cs="宋体"/>
        </w:rPr>
        <w:t>潜在供应商认为招标文件或招标公告使自己的合法权益受到损害的，可以在收到招标文件之日或招标公告期限届满之日起7个工作日内，按《湖南省财政厅关于印发＜政府采购质疑答复和投诉处理操作规程＞的通知》(湘财购</w:t>
      </w:r>
      <w:r>
        <w:rPr>
          <w:rFonts w:hint="eastAsia" w:ascii="宋体" w:hAnsi="宋体" w:eastAsia="宋体" w:cs="Times New Roman"/>
          <w:szCs w:val="21"/>
        </w:rPr>
        <w:t>〔2024〕67号</w:t>
      </w:r>
      <w:r>
        <w:rPr>
          <w:rFonts w:hint="eastAsia" w:ascii="宋体" w:hAnsi="宋体" w:eastAsia="宋体" w:cs="宋体"/>
        </w:rPr>
        <w:t>)规定，以纸质书面形式向采购人、采购代理机构提出质疑。</w:t>
      </w:r>
    </w:p>
    <w:p w14:paraId="05274BB4">
      <w:pPr>
        <w:adjustRightInd w:val="0"/>
        <w:snapToGrid w:val="0"/>
        <w:spacing w:line="360" w:lineRule="auto"/>
        <w:ind w:firstLine="422" w:firstLineChars="200"/>
        <w:rPr>
          <w:rFonts w:hint="eastAsia" w:ascii="宋体" w:hAnsi="宋体" w:eastAsia="宋体" w:cs="Times New Roman"/>
          <w:b/>
          <w:szCs w:val="21"/>
        </w:rPr>
      </w:pPr>
      <w:r>
        <w:rPr>
          <w:rFonts w:hint="eastAsia" w:ascii="宋体" w:hAnsi="宋体" w:eastAsia="宋体" w:cs="Times New Roman"/>
          <w:b/>
          <w:szCs w:val="21"/>
        </w:rPr>
        <w:t>九、投标说明</w:t>
      </w:r>
    </w:p>
    <w:p w14:paraId="4F8FE6FF">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hint="eastAsia" w:ascii="宋体" w:hAnsi="宋体" w:eastAsia="宋体" w:cs="Times New Roman"/>
          <w:szCs w:val="21"/>
        </w:rPr>
      </w:pPr>
      <w:r>
        <w:rPr>
          <w:rFonts w:hint="eastAsia" w:ascii="宋体" w:hAnsi="宋体" w:eastAsia="宋体" w:cs="Times New Roman"/>
          <w:szCs w:val="21"/>
        </w:rPr>
        <w:t>1、本公告选项：</w:t>
      </w:r>
      <w:r>
        <w:rPr>
          <w:rFonts w:hint="eastAsia" w:ascii="宋体" w:hAnsi="宋体" w:eastAsia="宋体" w:cs="Times New Roman"/>
          <w:szCs w:val="21"/>
        </w:rPr>
        <w:sym w:font="Wingdings" w:char="00FE"/>
      </w:r>
      <w:r>
        <w:rPr>
          <w:rFonts w:hint="eastAsia" w:ascii="宋体" w:hAnsi="宋体" w:eastAsia="宋体" w:cs="Times New Roman"/>
          <w:szCs w:val="21"/>
        </w:rPr>
        <w:t>表示选择，</w:t>
      </w:r>
      <w:r>
        <w:rPr>
          <w:rFonts w:hint="eastAsia" w:ascii="宋体" w:hAnsi="宋体" w:eastAsia="宋体" w:cs="Times New Roman"/>
          <w:szCs w:val="21"/>
        </w:rPr>
        <w:sym w:font="Wingdings" w:char="00A8"/>
      </w:r>
      <w:r>
        <w:rPr>
          <w:rFonts w:hint="eastAsia" w:ascii="宋体" w:hAnsi="宋体" w:eastAsia="宋体" w:cs="Times New Roman"/>
          <w:szCs w:val="21"/>
        </w:rPr>
        <w:t>表示未选择。</w:t>
      </w:r>
    </w:p>
    <w:p w14:paraId="5E9D9DBA">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ascii="Times New Roman" w:hAnsi="Times New Roman" w:eastAsia="宋体" w:cs="Times New Roman"/>
        </w:rPr>
      </w:pPr>
      <w:r>
        <w:rPr>
          <w:rFonts w:hint="eastAsia" w:ascii="宋体" w:hAnsi="宋体" w:eastAsia="宋体" w:cs="Times New Roman"/>
          <w:szCs w:val="21"/>
        </w:rPr>
        <w:t>2、投标人参与政府采购活动，无需向采购人、代理机构、交易平台缴纳任何费用。</w:t>
      </w:r>
    </w:p>
    <w:p w14:paraId="5FB8C149">
      <w:pPr>
        <w:adjustRightInd w:val="0"/>
        <w:snapToGrid w:val="0"/>
        <w:spacing w:line="360" w:lineRule="auto"/>
        <w:ind w:firstLine="422" w:firstLineChars="200"/>
        <w:rPr>
          <w:rFonts w:hint="eastAsia" w:ascii="宋体" w:hAnsi="宋体" w:eastAsia="宋体" w:cs="Times New Roman"/>
          <w:b/>
          <w:szCs w:val="21"/>
        </w:rPr>
      </w:pPr>
      <w:r>
        <w:rPr>
          <w:rFonts w:hint="eastAsia" w:ascii="宋体" w:hAnsi="宋体" w:eastAsia="宋体" w:cs="Times New Roman"/>
          <w:b/>
          <w:szCs w:val="21"/>
        </w:rPr>
        <w:t>十、采购项目联系人姓名和电话</w:t>
      </w:r>
    </w:p>
    <w:p w14:paraId="4DDBE9C1">
      <w:pPr>
        <w:adjustRightInd w:val="0"/>
        <w:snapToGrid w:val="0"/>
        <w:spacing w:line="360" w:lineRule="auto"/>
        <w:ind w:firstLine="411" w:firstLineChars="196"/>
        <w:rPr>
          <w:rFonts w:hint="eastAsia" w:ascii="宋体" w:hAnsi="宋体" w:eastAsia="宋体" w:cs="Times New Roman"/>
          <w:szCs w:val="21"/>
          <w:highlight w:val="none"/>
        </w:rPr>
      </w:pPr>
      <w:r>
        <w:rPr>
          <w:rFonts w:hint="eastAsia" w:ascii="宋体" w:hAnsi="宋体" w:eastAsia="宋体" w:cs="Times New Roman"/>
          <w:szCs w:val="21"/>
          <w:highlight w:val="none"/>
        </w:rPr>
        <w:t>1、联系人姓名：甘老师</w:t>
      </w:r>
    </w:p>
    <w:p w14:paraId="08A381F6">
      <w:pPr>
        <w:adjustRightInd w:val="0"/>
        <w:snapToGrid w:val="0"/>
        <w:spacing w:line="360" w:lineRule="auto"/>
        <w:ind w:firstLine="420" w:firstLineChars="200"/>
        <w:rPr>
          <w:rFonts w:hint="eastAsia" w:ascii="宋体" w:hAnsi="宋体" w:eastAsia="宋体" w:cs="Times New Roman"/>
          <w:szCs w:val="21"/>
          <w:highlight w:val="none"/>
        </w:rPr>
      </w:pPr>
      <w:r>
        <w:rPr>
          <w:rFonts w:hint="eastAsia" w:ascii="宋体" w:hAnsi="宋体" w:eastAsia="宋体" w:cs="Times New Roman"/>
          <w:szCs w:val="21"/>
          <w:highlight w:val="none"/>
        </w:rPr>
        <w:t>2、电话：0731-22537501</w:t>
      </w:r>
    </w:p>
    <w:p w14:paraId="03BD5C9D">
      <w:pPr>
        <w:adjustRightInd w:val="0"/>
        <w:snapToGrid w:val="0"/>
        <w:spacing w:line="360" w:lineRule="auto"/>
        <w:ind w:firstLine="413" w:firstLineChars="196"/>
        <w:rPr>
          <w:rFonts w:hint="eastAsia" w:ascii="宋体" w:hAnsi="宋体" w:eastAsia="宋体" w:cs="Times New Roman"/>
          <w:b/>
          <w:bCs/>
          <w:szCs w:val="21"/>
        </w:rPr>
      </w:pPr>
      <w:r>
        <w:rPr>
          <w:rFonts w:hint="eastAsia" w:ascii="宋体" w:hAnsi="宋体" w:eastAsia="宋体" w:cs="Times New Roman"/>
          <w:b/>
          <w:bCs/>
          <w:szCs w:val="21"/>
        </w:rPr>
        <w:t>十一、采购人、采购代理机构的名称、地址和联系方法</w:t>
      </w:r>
    </w:p>
    <w:p w14:paraId="1296A6E3">
      <w:pPr>
        <w:adjustRightInd w:val="0"/>
        <w:snapToGrid w:val="0"/>
        <w:spacing w:line="360" w:lineRule="auto"/>
        <w:ind w:firstLine="413" w:firstLineChars="196"/>
        <w:rPr>
          <w:rFonts w:hint="eastAsia" w:ascii="宋体" w:hAnsi="宋体" w:eastAsia="宋体" w:cs="Times New Roman"/>
          <w:b/>
          <w:bCs/>
          <w:szCs w:val="21"/>
        </w:rPr>
      </w:pPr>
      <w:r>
        <w:rPr>
          <w:rFonts w:hint="eastAsia" w:ascii="宋体" w:hAnsi="宋体" w:eastAsia="宋体" w:cs="Times New Roman"/>
          <w:b/>
          <w:bCs/>
          <w:szCs w:val="21"/>
        </w:rPr>
        <w:t>1</w:t>
      </w:r>
      <w:r>
        <w:rPr>
          <w:rFonts w:hint="eastAsia" w:ascii="宋体" w:hAnsi="宋体" w:eastAsia="宋体" w:cs="Times New Roman"/>
          <w:szCs w:val="21"/>
        </w:rPr>
        <w:t>、</w:t>
      </w:r>
      <w:r>
        <w:rPr>
          <w:rFonts w:hint="eastAsia" w:ascii="宋体" w:hAnsi="宋体" w:eastAsia="宋体" w:cs="Times New Roman"/>
          <w:b/>
          <w:bCs/>
          <w:szCs w:val="21"/>
        </w:rPr>
        <w:t>采购人信息</w:t>
      </w:r>
    </w:p>
    <w:p w14:paraId="388D209E">
      <w:pPr>
        <w:adjustRightInd w:val="0"/>
        <w:snapToGrid w:val="0"/>
        <w:spacing w:line="360" w:lineRule="auto"/>
        <w:ind w:firstLine="411" w:firstLineChars="196"/>
        <w:rPr>
          <w:rFonts w:hint="eastAsia" w:ascii="宋体" w:hAnsi="宋体" w:eastAsia="宋体" w:cs="Times New Roman"/>
          <w:szCs w:val="21"/>
        </w:rPr>
      </w:pPr>
      <w:r>
        <w:rPr>
          <w:rFonts w:hint="eastAsia" w:ascii="宋体" w:hAnsi="宋体" w:eastAsia="宋体" w:cs="Times New Roman"/>
          <w:szCs w:val="21"/>
        </w:rPr>
        <w:t xml:space="preserve">（1）名 称：湖南化工职业技术学院      </w:t>
      </w:r>
    </w:p>
    <w:p w14:paraId="1929122F">
      <w:pPr>
        <w:adjustRightInd w:val="0"/>
        <w:snapToGrid w:val="0"/>
        <w:spacing w:line="360" w:lineRule="auto"/>
        <w:ind w:firstLine="411" w:firstLineChars="196"/>
        <w:rPr>
          <w:rFonts w:hint="eastAsia" w:ascii="宋体" w:hAnsi="宋体" w:eastAsia="宋体" w:cs="Times New Roman"/>
          <w:szCs w:val="21"/>
        </w:rPr>
      </w:pPr>
      <w:r>
        <w:rPr>
          <w:rFonts w:hint="eastAsia" w:ascii="宋体" w:hAnsi="宋体" w:eastAsia="宋体" w:cs="Times New Roman"/>
          <w:szCs w:val="21"/>
        </w:rPr>
        <w:t xml:space="preserve">（2）地  址：株洲市云龙职教城智慧大道1号    </w:t>
      </w:r>
    </w:p>
    <w:p w14:paraId="57AB652C">
      <w:pPr>
        <w:adjustRightInd w:val="0"/>
        <w:snapToGrid w:val="0"/>
        <w:spacing w:line="360" w:lineRule="auto"/>
        <w:ind w:firstLine="411" w:firstLineChars="196"/>
        <w:rPr>
          <w:rFonts w:hint="eastAsia" w:ascii="宋体" w:hAnsi="宋体" w:eastAsia="宋体" w:cs="Times New Roman"/>
          <w:szCs w:val="21"/>
          <w:highlight w:val="none"/>
        </w:rPr>
      </w:pPr>
      <w:r>
        <w:rPr>
          <w:rFonts w:hint="eastAsia" w:ascii="宋体" w:hAnsi="宋体" w:eastAsia="宋体" w:cs="Times New Roman"/>
          <w:szCs w:val="21"/>
          <w:highlight w:val="none"/>
        </w:rPr>
        <w:t>（3）联系人：甘老师</w:t>
      </w:r>
    </w:p>
    <w:p w14:paraId="6555297D">
      <w:pPr>
        <w:adjustRightInd w:val="0"/>
        <w:snapToGrid w:val="0"/>
        <w:spacing w:line="360" w:lineRule="auto"/>
        <w:ind w:firstLine="411" w:firstLineChars="196"/>
        <w:rPr>
          <w:rFonts w:hint="eastAsia" w:ascii="宋体" w:hAnsi="宋体" w:eastAsia="宋体" w:cs="Times New Roman"/>
          <w:szCs w:val="21"/>
        </w:rPr>
      </w:pPr>
      <w:r>
        <w:rPr>
          <w:rFonts w:hint="eastAsia" w:ascii="宋体" w:hAnsi="宋体" w:eastAsia="宋体" w:cs="Times New Roman"/>
          <w:szCs w:val="21"/>
        </w:rPr>
        <w:t>（4）电  话：</w:t>
      </w:r>
      <w:bookmarkStart w:id="24" w:name="OLE_LINK97"/>
      <w:r>
        <w:rPr>
          <w:rFonts w:hint="eastAsia" w:ascii="宋体" w:hAnsi="宋体" w:eastAsia="宋体" w:cs="Times New Roman"/>
          <w:szCs w:val="21"/>
        </w:rPr>
        <w:t>0731-22537501</w:t>
      </w:r>
      <w:bookmarkEnd w:id="24"/>
    </w:p>
    <w:p w14:paraId="0F259ED1">
      <w:pPr>
        <w:adjustRightInd w:val="0"/>
        <w:snapToGrid w:val="0"/>
        <w:spacing w:line="360" w:lineRule="auto"/>
        <w:ind w:firstLine="411" w:firstLineChars="196"/>
        <w:rPr>
          <w:rFonts w:hint="eastAsia" w:ascii="宋体" w:hAnsi="宋体" w:eastAsia="宋体" w:cs="Times New Roman"/>
          <w:szCs w:val="21"/>
        </w:rPr>
      </w:pPr>
      <w:r>
        <w:rPr>
          <w:rFonts w:hint="eastAsia" w:ascii="宋体" w:hAnsi="宋体" w:eastAsia="宋体" w:cs="Times New Roman"/>
          <w:szCs w:val="21"/>
        </w:rPr>
        <w:t xml:space="preserve">（5）邮  编：412000 </w:t>
      </w:r>
    </w:p>
    <w:p w14:paraId="314A7BD0">
      <w:pPr>
        <w:adjustRightInd w:val="0"/>
        <w:snapToGrid w:val="0"/>
        <w:spacing w:line="360" w:lineRule="auto"/>
        <w:ind w:firstLine="411" w:firstLineChars="196"/>
        <w:rPr>
          <w:rFonts w:hint="eastAsia" w:ascii="宋体" w:hAnsi="宋体" w:eastAsia="宋体" w:cs="Times New Roman"/>
          <w:szCs w:val="21"/>
        </w:rPr>
      </w:pPr>
      <w:r>
        <w:rPr>
          <w:rFonts w:hint="eastAsia" w:ascii="宋体" w:hAnsi="宋体" w:eastAsia="宋体" w:cs="Times New Roman"/>
          <w:szCs w:val="21"/>
        </w:rPr>
        <w:t>（6）电子邮箱：/</w:t>
      </w:r>
    </w:p>
    <w:p w14:paraId="117CA3C5">
      <w:pPr>
        <w:adjustRightInd w:val="0"/>
        <w:snapToGrid w:val="0"/>
        <w:spacing w:line="360" w:lineRule="auto"/>
        <w:ind w:firstLine="413" w:firstLineChars="196"/>
        <w:rPr>
          <w:rFonts w:hint="eastAsia" w:ascii="宋体" w:hAnsi="宋体" w:eastAsia="宋体" w:cs="Times New Roman"/>
          <w:b/>
          <w:bCs/>
          <w:szCs w:val="21"/>
        </w:rPr>
      </w:pPr>
      <w:r>
        <w:rPr>
          <w:rFonts w:hint="eastAsia" w:ascii="宋体" w:hAnsi="宋体" w:eastAsia="宋体" w:cs="Times New Roman"/>
          <w:b/>
          <w:bCs/>
          <w:szCs w:val="21"/>
        </w:rPr>
        <w:t>2</w:t>
      </w:r>
      <w:r>
        <w:rPr>
          <w:rFonts w:hint="eastAsia" w:ascii="宋体" w:hAnsi="宋体" w:eastAsia="宋体" w:cs="Times New Roman"/>
          <w:szCs w:val="21"/>
        </w:rPr>
        <w:t>、</w:t>
      </w:r>
      <w:r>
        <w:rPr>
          <w:rFonts w:hint="eastAsia" w:ascii="宋体" w:hAnsi="宋体" w:eastAsia="宋体" w:cs="Times New Roman"/>
          <w:b/>
          <w:bCs/>
          <w:szCs w:val="21"/>
        </w:rPr>
        <w:t>采购代理机构信息</w:t>
      </w:r>
    </w:p>
    <w:p w14:paraId="75A381CC">
      <w:pPr>
        <w:snapToGrid w:val="0"/>
        <w:spacing w:line="360" w:lineRule="auto"/>
        <w:ind w:firstLine="411" w:firstLineChars="196"/>
        <w:textAlignment w:val="baseline"/>
        <w:rPr>
          <w:rFonts w:hint="eastAsia" w:ascii="宋体" w:hAnsi="宋体" w:eastAsia="宋体" w:cs="Times New Roman"/>
          <w:szCs w:val="21"/>
        </w:rPr>
      </w:pPr>
      <w:r>
        <w:rPr>
          <w:rFonts w:ascii="宋体" w:hAnsi="宋体" w:eastAsia="宋体" w:cs="Times New Roman"/>
          <w:szCs w:val="21"/>
        </w:rPr>
        <w:t>（1）</w:t>
      </w:r>
      <w:r>
        <w:rPr>
          <w:rFonts w:ascii="宋体" w:hAnsi="宋体" w:eastAsia="宋体" w:cs="Times New Roman"/>
          <w:bCs/>
          <w:szCs w:val="21"/>
        </w:rPr>
        <w:t>名  称：</w:t>
      </w:r>
      <w:r>
        <w:rPr>
          <w:rFonts w:hint="eastAsia" w:ascii="宋体" w:hAnsi="宋体" w:eastAsia="宋体" w:cs="Times New Roman"/>
          <w:bCs/>
          <w:szCs w:val="21"/>
        </w:rPr>
        <w:t>湖南恒泽项目管理有限公司</w:t>
      </w:r>
    </w:p>
    <w:p w14:paraId="1CB76905">
      <w:pPr>
        <w:snapToGrid w:val="0"/>
        <w:spacing w:line="360" w:lineRule="auto"/>
        <w:ind w:firstLine="420" w:firstLineChars="200"/>
        <w:textAlignment w:val="baseline"/>
        <w:rPr>
          <w:rFonts w:hint="eastAsia" w:ascii="宋体" w:hAnsi="宋体" w:eastAsia="宋体" w:cs="Times New Roman"/>
          <w:szCs w:val="21"/>
        </w:rPr>
      </w:pPr>
      <w:r>
        <w:rPr>
          <w:rFonts w:ascii="宋体" w:hAnsi="宋体" w:eastAsia="宋体" w:cs="Times New Roman"/>
          <w:szCs w:val="21"/>
        </w:rPr>
        <w:t>（2）地  址：</w:t>
      </w:r>
      <w:r>
        <w:rPr>
          <w:rFonts w:hint="eastAsia" w:ascii="宋体" w:hAnsi="宋体" w:eastAsia="宋体" w:cs="Times New Roman"/>
          <w:szCs w:val="21"/>
        </w:rPr>
        <w:t>长沙市天心区雀园路568号创谷产业园A1栋1220-1225房</w:t>
      </w:r>
    </w:p>
    <w:p w14:paraId="4344ACAC">
      <w:pPr>
        <w:snapToGrid w:val="0"/>
        <w:spacing w:line="360" w:lineRule="auto"/>
        <w:ind w:firstLine="420" w:firstLineChars="200"/>
        <w:textAlignment w:val="baseline"/>
        <w:rPr>
          <w:rFonts w:hint="eastAsia" w:ascii="宋体" w:hAnsi="宋体" w:eastAsia="宋体" w:cs="Times New Roman"/>
          <w:szCs w:val="21"/>
        </w:rPr>
      </w:pPr>
      <w:r>
        <w:rPr>
          <w:rFonts w:ascii="宋体" w:hAnsi="宋体" w:eastAsia="宋体" w:cs="Times New Roman"/>
          <w:szCs w:val="21"/>
        </w:rPr>
        <w:t>（3）联系人：</w:t>
      </w:r>
      <w:r>
        <w:rPr>
          <w:rFonts w:hint="eastAsia" w:ascii="宋体" w:hAnsi="宋体" w:eastAsia="宋体" w:cs="Times New Roman"/>
          <w:szCs w:val="21"/>
        </w:rPr>
        <w:t xml:space="preserve">张冠军、张志鹏、胡艳、舒超凡、伍迎斌 </w:t>
      </w:r>
    </w:p>
    <w:p w14:paraId="3CA123BE">
      <w:pPr>
        <w:snapToGrid w:val="0"/>
        <w:spacing w:line="360" w:lineRule="auto"/>
        <w:ind w:firstLine="420" w:firstLineChars="200"/>
        <w:textAlignment w:val="baseline"/>
        <w:rPr>
          <w:rFonts w:hint="eastAsia" w:ascii="宋体" w:hAnsi="宋体" w:eastAsia="宋体" w:cs="Times New Roman"/>
          <w:szCs w:val="21"/>
        </w:rPr>
      </w:pPr>
      <w:r>
        <w:rPr>
          <w:rFonts w:ascii="宋体" w:hAnsi="宋体" w:eastAsia="宋体" w:cs="Times New Roman"/>
          <w:szCs w:val="21"/>
        </w:rPr>
        <w:t>（4）电  话：</w:t>
      </w:r>
      <w:r>
        <w:rPr>
          <w:rFonts w:hint="eastAsia" w:ascii="宋体" w:hAnsi="宋体" w:eastAsia="宋体" w:cs="宋体"/>
          <w:kern w:val="0"/>
          <w:szCs w:val="21"/>
        </w:rPr>
        <w:t>0731-82288998</w:t>
      </w:r>
    </w:p>
    <w:p w14:paraId="0CE50106">
      <w:pPr>
        <w:snapToGrid w:val="0"/>
        <w:spacing w:line="360" w:lineRule="auto"/>
        <w:ind w:firstLine="420" w:firstLineChars="200"/>
        <w:textAlignment w:val="baseline"/>
        <w:rPr>
          <w:rFonts w:hint="eastAsia" w:ascii="宋体" w:hAnsi="宋体" w:eastAsia="宋体" w:cs="Times New Roman"/>
          <w:szCs w:val="21"/>
        </w:rPr>
      </w:pPr>
      <w:r>
        <w:rPr>
          <w:rFonts w:ascii="宋体" w:hAnsi="宋体" w:eastAsia="宋体" w:cs="Times New Roman"/>
          <w:szCs w:val="21"/>
        </w:rPr>
        <w:t>（5）邮  编：41</w:t>
      </w:r>
      <w:r>
        <w:rPr>
          <w:rFonts w:hint="eastAsia" w:ascii="宋体" w:hAnsi="宋体" w:eastAsia="宋体" w:cs="Times New Roman"/>
          <w:szCs w:val="21"/>
        </w:rPr>
        <w:t>0000</w:t>
      </w:r>
    </w:p>
    <w:p w14:paraId="48650438">
      <w:pPr>
        <w:snapToGrid w:val="0"/>
        <w:spacing w:line="360" w:lineRule="auto"/>
        <w:ind w:firstLine="420" w:firstLineChars="200"/>
        <w:textAlignment w:val="baseline"/>
        <w:rPr>
          <w:rFonts w:ascii="Times New Roman" w:hAnsi="Times New Roman" w:eastAsia="宋体" w:cs="Times New Roman"/>
          <w:szCs w:val="21"/>
        </w:rPr>
      </w:pPr>
      <w:r>
        <w:rPr>
          <w:rFonts w:ascii="宋体" w:hAnsi="宋体" w:eastAsia="宋体" w:cs="Times New Roman"/>
          <w:szCs w:val="21"/>
        </w:rPr>
        <w:t>（6）</w:t>
      </w:r>
      <w:r>
        <w:rPr>
          <w:rFonts w:ascii="Times New Roman" w:hAnsi="Times New Roman" w:eastAsia="宋体" w:cs="Times New Roman"/>
          <w:szCs w:val="21"/>
        </w:rPr>
        <w:t>电子邮箱：</w:t>
      </w:r>
      <w:r>
        <w:rPr>
          <w:rFonts w:hint="eastAsia" w:ascii="宋体" w:hAnsi="宋体" w:eastAsia="宋体" w:cs="宋体"/>
        </w:rPr>
        <w:t>/</w:t>
      </w:r>
    </w:p>
    <w:p w14:paraId="665FA54B">
      <w:pPr>
        <w:spacing w:line="360" w:lineRule="auto"/>
        <w:ind w:firstLine="422" w:firstLineChars="200"/>
        <w:rPr>
          <w:rFonts w:hint="eastAsia" w:ascii="宋体" w:hAnsi="宋体" w:eastAsia="宋体" w:cs="微软雅黑"/>
          <w:b/>
          <w:bCs/>
          <w:kern w:val="0"/>
          <w:position w:val="-1"/>
          <w:szCs w:val="21"/>
        </w:rPr>
      </w:pPr>
      <w:r>
        <w:rPr>
          <w:rFonts w:hint="eastAsia" w:ascii="宋体" w:hAnsi="宋体" w:eastAsia="宋体" w:cs="微软雅黑"/>
          <w:b/>
          <w:bCs/>
          <w:kern w:val="0"/>
          <w:position w:val="-1"/>
          <w:szCs w:val="21"/>
        </w:rPr>
        <w:t>3、电子交易平台服务机构信息</w:t>
      </w:r>
    </w:p>
    <w:p w14:paraId="7E551CFD">
      <w:pPr>
        <w:adjustRightInd w:val="0"/>
        <w:snapToGrid w:val="0"/>
        <w:spacing w:line="360" w:lineRule="auto"/>
        <w:ind w:firstLine="411" w:firstLineChars="196"/>
        <w:rPr>
          <w:rFonts w:hint="eastAsia" w:ascii="宋体" w:hAnsi="宋体" w:eastAsia="宋体" w:cs="Times New Roman"/>
          <w:szCs w:val="21"/>
        </w:rPr>
      </w:pPr>
      <w:r>
        <w:rPr>
          <w:rFonts w:hint="eastAsia" w:ascii="宋体" w:hAnsi="宋体" w:eastAsia="宋体" w:cs="Times New Roman"/>
          <w:szCs w:val="21"/>
        </w:rPr>
        <w:t>（1）</w:t>
      </w:r>
      <w:r>
        <w:rPr>
          <w:rFonts w:hint="eastAsia" w:ascii="宋体" w:hAnsi="宋体" w:eastAsia="宋体" w:cs="Times New Roman"/>
          <w:bCs/>
          <w:szCs w:val="21"/>
        </w:rPr>
        <w:t>名  称：</w:t>
      </w:r>
      <w:r>
        <w:rPr>
          <w:rFonts w:hint="eastAsia" w:ascii="宋体" w:hAnsi="宋体" w:eastAsia="宋体" w:cs="Times New Roman"/>
          <w:szCs w:val="21"/>
        </w:rPr>
        <w:t>株洲市公共资源交易网</w:t>
      </w:r>
    </w:p>
    <w:p w14:paraId="22460196">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 xml:space="preserve">（2）联系人：技术支持 </w:t>
      </w:r>
    </w:p>
    <w:p w14:paraId="72B78BB7">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 xml:space="preserve">（3）电  话：0731-28101310 </w:t>
      </w:r>
    </w:p>
    <w:p w14:paraId="0677DC7A">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（4）电子邮箱：3562613576@qq.com</w:t>
      </w:r>
      <w:bookmarkEnd w:id="12"/>
      <w:bookmarkStart w:id="210" w:name="_GoBack"/>
      <w:bookmarkEnd w:id="210"/>
    </w:p>
    <w:p w14:paraId="3F51E480">
      <w:pPr>
        <w:widowControl w:val="0"/>
        <w:adjustRightInd w:val="0"/>
        <w:snapToGrid w:val="0"/>
        <w:spacing w:line="360" w:lineRule="auto"/>
        <w:jc w:val="center"/>
        <w:rPr>
          <w:rFonts w:hint="eastAsia" w:ascii="宋体" w:hAnsi="宋体" w:eastAsia="宋体" w:cs="宋体"/>
          <w:b/>
          <w:kern w:val="2"/>
          <w:sz w:val="32"/>
          <w:szCs w:val="32"/>
          <w:lang w:val="en-US" w:eastAsia="zh-CN" w:bidi="ar-SA"/>
        </w:rPr>
      </w:pPr>
      <w:r>
        <w:rPr>
          <w:rFonts w:hint="eastAsia" w:ascii="宋体" w:hAnsi="宋体" w:eastAsia="宋体" w:cs="宋体"/>
          <w:b/>
          <w:kern w:val="2"/>
          <w:sz w:val="32"/>
          <w:szCs w:val="32"/>
          <w:lang w:val="en-US" w:eastAsia="zh-CN" w:bidi="ar-SA"/>
        </w:rPr>
        <w:br w:type="page"/>
      </w:r>
    </w:p>
    <w:p w14:paraId="43B7D479">
      <w:pPr>
        <w:widowControl w:val="0"/>
        <w:adjustRightInd w:val="0"/>
        <w:snapToGrid w:val="0"/>
        <w:spacing w:line="360" w:lineRule="auto"/>
        <w:jc w:val="center"/>
        <w:outlineLvl w:val="0"/>
        <w:rPr>
          <w:rFonts w:hint="eastAsia" w:ascii="宋体" w:hAnsi="宋体" w:eastAsia="宋体" w:cs="宋体"/>
          <w:b/>
          <w:spacing w:val="100"/>
          <w:kern w:val="2"/>
          <w:sz w:val="32"/>
          <w:szCs w:val="32"/>
          <w:lang w:val="en-US" w:eastAsia="zh-CN" w:bidi="ar-SA"/>
        </w:rPr>
      </w:pPr>
      <w:bookmarkStart w:id="25" w:name="_Toc14812"/>
      <w:r>
        <w:rPr>
          <w:rFonts w:hint="eastAsia" w:ascii="宋体" w:hAnsi="宋体" w:eastAsia="宋体" w:cs="宋体"/>
          <w:b/>
          <w:kern w:val="2"/>
          <w:sz w:val="32"/>
          <w:szCs w:val="32"/>
          <w:lang w:val="en-US" w:eastAsia="zh-CN" w:bidi="ar-SA"/>
        </w:rPr>
        <w:t>第二章 投标须知</w:t>
      </w:r>
      <w:bookmarkEnd w:id="3"/>
      <w:bookmarkEnd w:id="4"/>
      <w:bookmarkEnd w:id="5"/>
      <w:bookmarkEnd w:id="6"/>
      <w:bookmarkEnd w:id="7"/>
      <w:bookmarkEnd w:id="8"/>
      <w:bookmarkEnd w:id="9"/>
      <w:bookmarkEnd w:id="10"/>
      <w:bookmarkEnd w:id="25"/>
    </w:p>
    <w:p w14:paraId="7E5EF4DA">
      <w:pPr>
        <w:keepNext/>
        <w:keepLines/>
        <w:widowControl w:val="0"/>
        <w:adjustRightInd w:val="0"/>
        <w:snapToGrid w:val="0"/>
        <w:spacing w:line="360" w:lineRule="auto"/>
        <w:jc w:val="center"/>
        <w:outlineLvl w:val="1"/>
        <w:rPr>
          <w:rFonts w:hint="eastAsia" w:ascii="宋体" w:hAnsi="宋体" w:eastAsia="宋体" w:cs="宋体"/>
          <w:b/>
          <w:bCs/>
          <w:spacing w:val="100"/>
          <w:kern w:val="2"/>
          <w:sz w:val="28"/>
          <w:szCs w:val="28"/>
          <w:lang w:val="en-US" w:eastAsia="zh-CN" w:bidi="ar-SA"/>
        </w:rPr>
      </w:pPr>
      <w:bookmarkStart w:id="26" w:name="_Toc13073"/>
      <w:r>
        <w:rPr>
          <w:rFonts w:hint="eastAsia" w:ascii="宋体" w:hAnsi="宋体" w:eastAsia="宋体" w:cs="宋体"/>
          <w:b/>
          <w:bCs/>
          <w:kern w:val="2"/>
          <w:sz w:val="28"/>
          <w:szCs w:val="28"/>
          <w:lang w:val="en-US" w:eastAsia="zh-CN" w:bidi="ar-SA"/>
        </w:rPr>
        <w:t>第一节 投标须知前附表</w:t>
      </w:r>
      <w:bookmarkEnd w:id="26"/>
    </w:p>
    <w:p w14:paraId="1BE459AA">
      <w:pPr>
        <w:adjustRightInd w:val="0"/>
        <w:snapToGrid w:val="0"/>
        <w:spacing w:line="360" w:lineRule="auto"/>
        <w:ind w:right="31" w:rightChars="15" w:firstLine="420" w:firstLineChars="200"/>
        <w:rPr>
          <w:rFonts w:hint="eastAsia" w:ascii="宋体" w:hAnsi="宋体" w:eastAsia="宋体" w:cs="宋体"/>
          <w:iCs/>
          <w:szCs w:val="21"/>
        </w:rPr>
      </w:pPr>
      <w:r>
        <w:rPr>
          <w:rFonts w:hint="eastAsia" w:ascii="宋体" w:hAnsi="宋体" w:eastAsia="宋体" w:cs="宋体"/>
          <w:iCs/>
          <w:szCs w:val="21"/>
        </w:rPr>
        <w:t>注：本项目启用的条款在“编列内容规定”栏内以“■”标注。</w:t>
      </w:r>
    </w:p>
    <w:tbl>
      <w:tblPr>
        <w:tblStyle w:val="2"/>
        <w:tblW w:w="893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11"/>
        <w:gridCol w:w="1620"/>
        <w:gridCol w:w="6100"/>
      </w:tblGrid>
      <w:tr w14:paraId="7D7E6C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1211" w:type="dxa"/>
            <w:tcBorders>
              <w:tl2br w:val="nil"/>
              <w:tr2bl w:val="nil"/>
            </w:tcBorders>
            <w:vAlign w:val="center"/>
          </w:tcPr>
          <w:p w14:paraId="22509C03">
            <w:pPr>
              <w:jc w:val="center"/>
              <w:rPr>
                <w:rFonts w:hint="eastAsia" w:ascii="宋体" w:hAnsi="宋体" w:eastAsia="宋体" w:cs="宋体"/>
                <w:b/>
                <w:bCs/>
                <w:szCs w:val="21"/>
              </w:rPr>
            </w:pPr>
            <w:r>
              <w:rPr>
                <w:rFonts w:hint="eastAsia" w:ascii="宋体" w:hAnsi="宋体" w:eastAsia="宋体" w:cs="宋体"/>
                <w:b/>
                <w:bCs/>
                <w:szCs w:val="21"/>
              </w:rPr>
              <w:t>条款号</w:t>
            </w:r>
          </w:p>
        </w:tc>
        <w:tc>
          <w:tcPr>
            <w:tcW w:w="1620" w:type="dxa"/>
            <w:tcBorders>
              <w:tl2br w:val="nil"/>
              <w:tr2bl w:val="nil"/>
            </w:tcBorders>
            <w:vAlign w:val="center"/>
          </w:tcPr>
          <w:p w14:paraId="097DDCFC">
            <w:pPr>
              <w:jc w:val="center"/>
              <w:rPr>
                <w:rFonts w:hint="eastAsia" w:ascii="宋体" w:hAnsi="宋体" w:eastAsia="宋体" w:cs="宋体"/>
                <w:b/>
                <w:bCs/>
                <w:szCs w:val="21"/>
              </w:rPr>
            </w:pPr>
            <w:r>
              <w:rPr>
                <w:rFonts w:hint="eastAsia" w:ascii="宋体" w:hAnsi="宋体" w:eastAsia="宋体" w:cs="宋体"/>
                <w:b/>
                <w:bCs/>
                <w:szCs w:val="21"/>
              </w:rPr>
              <w:t>条款名称</w:t>
            </w:r>
          </w:p>
        </w:tc>
        <w:tc>
          <w:tcPr>
            <w:tcW w:w="6100" w:type="dxa"/>
            <w:tcBorders>
              <w:tl2br w:val="nil"/>
              <w:tr2bl w:val="nil"/>
            </w:tcBorders>
            <w:vAlign w:val="center"/>
          </w:tcPr>
          <w:p w14:paraId="3C93645F">
            <w:pPr>
              <w:jc w:val="center"/>
              <w:rPr>
                <w:rFonts w:hint="eastAsia" w:ascii="宋体" w:hAnsi="宋体" w:eastAsia="宋体" w:cs="宋体"/>
                <w:b/>
                <w:bCs/>
                <w:szCs w:val="21"/>
              </w:rPr>
            </w:pPr>
            <w:r>
              <w:rPr>
                <w:rFonts w:hint="eastAsia" w:ascii="宋体" w:hAnsi="宋体" w:eastAsia="宋体" w:cs="宋体"/>
                <w:b/>
                <w:bCs/>
                <w:szCs w:val="21"/>
              </w:rPr>
              <w:t>编列内容规定</w:t>
            </w:r>
          </w:p>
        </w:tc>
      </w:tr>
      <w:tr w14:paraId="4BBA7E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931" w:type="dxa"/>
            <w:gridSpan w:val="3"/>
            <w:tcBorders>
              <w:tl2br w:val="nil"/>
              <w:tr2bl w:val="nil"/>
            </w:tcBorders>
            <w:vAlign w:val="center"/>
          </w:tcPr>
          <w:p w14:paraId="76162C9D">
            <w:pPr>
              <w:rPr>
                <w:rFonts w:hint="eastAsia" w:ascii="宋体" w:hAnsi="宋体" w:eastAsia="宋体" w:cs="宋体"/>
                <w:szCs w:val="21"/>
              </w:rPr>
            </w:pPr>
            <w:r>
              <w:rPr>
                <w:rFonts w:hint="eastAsia" w:ascii="宋体" w:hAnsi="宋体" w:eastAsia="宋体" w:cs="宋体"/>
                <w:b/>
                <w:bCs/>
                <w:szCs w:val="21"/>
              </w:rPr>
              <w:t>一、说明</w:t>
            </w:r>
          </w:p>
        </w:tc>
      </w:tr>
      <w:tr w14:paraId="179D77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4C91952F">
            <w:pPr>
              <w:jc w:val="center"/>
              <w:rPr>
                <w:rFonts w:hint="eastAsia" w:ascii="宋体" w:hAnsi="宋体" w:eastAsia="宋体" w:cs="宋体"/>
                <w:szCs w:val="21"/>
              </w:rPr>
            </w:pPr>
            <w:r>
              <w:rPr>
                <w:rFonts w:hint="eastAsia" w:ascii="宋体" w:hAnsi="宋体" w:eastAsia="宋体" w:cs="宋体"/>
                <w:szCs w:val="21"/>
              </w:rPr>
              <w:t>第1.1款</w:t>
            </w:r>
          </w:p>
        </w:tc>
        <w:tc>
          <w:tcPr>
            <w:tcW w:w="1620" w:type="dxa"/>
            <w:tcBorders>
              <w:tl2br w:val="nil"/>
              <w:tr2bl w:val="nil"/>
            </w:tcBorders>
            <w:vAlign w:val="center"/>
          </w:tcPr>
          <w:p w14:paraId="081507A4">
            <w:pPr>
              <w:jc w:val="left"/>
              <w:rPr>
                <w:rFonts w:hint="eastAsia" w:ascii="宋体" w:hAnsi="宋体" w:eastAsia="宋体" w:cs="宋体"/>
                <w:szCs w:val="21"/>
              </w:rPr>
            </w:pPr>
            <w:r>
              <w:rPr>
                <w:rFonts w:hint="eastAsia" w:ascii="宋体" w:hAnsi="宋体" w:eastAsia="宋体" w:cs="宋体"/>
                <w:szCs w:val="21"/>
              </w:rPr>
              <w:t>采购项目</w:t>
            </w:r>
          </w:p>
        </w:tc>
        <w:tc>
          <w:tcPr>
            <w:tcW w:w="6100" w:type="dxa"/>
            <w:tcBorders>
              <w:tl2br w:val="nil"/>
              <w:tr2bl w:val="nil"/>
            </w:tcBorders>
            <w:vAlign w:val="center"/>
          </w:tcPr>
          <w:p w14:paraId="29D2D0B5">
            <w:pPr>
              <w:spacing w:line="360" w:lineRule="auto"/>
              <w:rPr>
                <w:rFonts w:hint="eastAsia" w:ascii="宋体" w:hAnsi="宋体" w:eastAsia="宋体" w:cs="宋体"/>
                <w:szCs w:val="21"/>
              </w:rPr>
            </w:pPr>
            <w:r>
              <w:rPr>
                <w:rFonts w:hint="eastAsia" w:ascii="宋体" w:hAnsi="宋体" w:eastAsia="宋体" w:cs="宋体"/>
                <w:szCs w:val="21"/>
              </w:rPr>
              <w:t>湖南化工职业技术学院生物医药与功能材料工程技术中心—仪器与配套设备购置项目</w:t>
            </w:r>
          </w:p>
        </w:tc>
      </w:tr>
      <w:tr w14:paraId="2DE568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0EEE5DD6">
            <w:pPr>
              <w:adjustRightInd w:val="0"/>
              <w:snapToGrid w:val="0"/>
              <w:spacing w:line="400" w:lineRule="exact"/>
              <w:jc w:val="center"/>
              <w:rPr>
                <w:rFonts w:hint="eastAsia" w:ascii="宋体" w:hAnsi="宋体" w:eastAsia="宋体" w:cs="宋体"/>
                <w:szCs w:val="21"/>
              </w:rPr>
            </w:pPr>
            <w:r>
              <w:rPr>
                <w:rFonts w:hint="eastAsia" w:ascii="宋体" w:hAnsi="宋体" w:eastAsia="宋体" w:cs="Times New Roman"/>
                <w:szCs w:val="21"/>
              </w:rPr>
              <w:t>第1.2款</w:t>
            </w:r>
          </w:p>
        </w:tc>
        <w:tc>
          <w:tcPr>
            <w:tcW w:w="1620" w:type="dxa"/>
            <w:tcBorders>
              <w:tl2br w:val="nil"/>
              <w:tr2bl w:val="nil"/>
            </w:tcBorders>
            <w:vAlign w:val="center"/>
          </w:tcPr>
          <w:p w14:paraId="6992A239">
            <w:pPr>
              <w:adjustRightInd w:val="0"/>
              <w:snapToGrid w:val="0"/>
              <w:spacing w:line="400" w:lineRule="exact"/>
              <w:rPr>
                <w:rFonts w:hint="eastAsia" w:ascii="宋体" w:hAnsi="宋体" w:eastAsia="宋体" w:cs="宋体"/>
                <w:szCs w:val="21"/>
              </w:rPr>
            </w:pPr>
            <w:r>
              <w:rPr>
                <w:rFonts w:hint="eastAsia" w:ascii="宋体" w:hAnsi="宋体" w:eastAsia="宋体" w:cs="Times New Roman"/>
                <w:szCs w:val="21"/>
              </w:rPr>
              <w:t>是否预留采购份额</w:t>
            </w:r>
          </w:p>
        </w:tc>
        <w:tc>
          <w:tcPr>
            <w:tcW w:w="6100" w:type="dxa"/>
            <w:tcBorders>
              <w:tl2br w:val="nil"/>
              <w:tr2bl w:val="nil"/>
            </w:tcBorders>
            <w:vAlign w:val="center"/>
          </w:tcPr>
          <w:p w14:paraId="3966497C">
            <w:pPr>
              <w:adjustRightInd w:val="0"/>
              <w:snapToGrid w:val="0"/>
              <w:spacing w:line="400" w:lineRule="exact"/>
              <w:rPr>
                <w:rFonts w:ascii="Times New Roman" w:hAnsi="Times New Roman" w:eastAsia="宋体" w:cs="Times New Roman"/>
                <w:u w:val="single"/>
              </w:rPr>
            </w:pPr>
            <w:bookmarkStart w:id="27" w:name="OLE_LINK229"/>
            <w:r>
              <w:rPr>
                <w:rFonts w:hint="eastAsia" w:ascii="Times New Roman" w:hAnsi="Times New Roman" w:eastAsia="宋体" w:cs="Times New Roman"/>
              </w:rPr>
              <w:sym w:font="Wingdings" w:char="00A8"/>
            </w:r>
            <w:bookmarkEnd w:id="27"/>
            <w:r>
              <w:rPr>
                <w:rFonts w:hint="eastAsia" w:ascii="Times New Roman" w:hAnsi="Times New Roman" w:eastAsia="宋体" w:cs="Times New Roman"/>
              </w:rPr>
              <w:t xml:space="preserve"> 是。</w:t>
            </w:r>
          </w:p>
          <w:p w14:paraId="241DFFA7">
            <w:pPr>
              <w:widowControl w:val="0"/>
              <w:spacing w:line="400" w:lineRule="exact"/>
              <w:ind w:firstLine="0" w:firstLineChars="0"/>
              <w:jc w:val="both"/>
              <w:textAlignment w:val="baseline"/>
              <w:rPr>
                <w:rFonts w:hint="eastAsia" w:ascii="宋体" w:hAnsi="宋体" w:eastAsia="宋体" w:cs="宋体"/>
                <w:kern w:val="2"/>
                <w:sz w:val="21"/>
                <w:szCs w:val="21"/>
                <w:lang w:val="en-US" w:eastAsia="zh-CN" w:bidi="ar-SA"/>
              </w:rPr>
            </w:pPr>
            <w:r>
              <w:rPr>
                <w:rFonts w:hint="eastAsia" w:ascii="宋体" w:hAnsi="宋体" w:eastAsia="宋体" w:cs="宋体"/>
                <w:iCs/>
                <w:kern w:val="2"/>
                <w:sz w:val="21"/>
                <w:szCs w:val="21"/>
                <w:lang w:val="en-US" w:eastAsia="zh-CN" w:bidi="ar-SA"/>
              </w:rPr>
              <w:t>■</w:t>
            </w:r>
            <w:r>
              <w:rPr>
                <w:rFonts w:hint="eastAsia" w:ascii="宋体" w:hAnsi="宋体" w:eastAsia="宋体" w:cs="Times New Roman"/>
                <w:iCs/>
                <w:kern w:val="2"/>
                <w:sz w:val="21"/>
                <w:szCs w:val="21"/>
                <w:lang w:val="en-US" w:eastAsia="zh-CN" w:bidi="ar-SA"/>
              </w:rPr>
              <w:t xml:space="preserve"> 否。</w:t>
            </w:r>
          </w:p>
        </w:tc>
      </w:tr>
      <w:tr w14:paraId="1D9121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11" w:type="dxa"/>
            <w:tcBorders>
              <w:tl2br w:val="nil"/>
              <w:tr2bl w:val="nil"/>
            </w:tcBorders>
            <w:vAlign w:val="center"/>
          </w:tcPr>
          <w:p w14:paraId="54F391F0">
            <w:pPr>
              <w:jc w:val="center"/>
              <w:rPr>
                <w:rFonts w:hint="eastAsia" w:ascii="宋体" w:hAnsi="宋体" w:eastAsia="宋体" w:cs="宋体"/>
                <w:szCs w:val="21"/>
              </w:rPr>
            </w:pPr>
            <w:r>
              <w:rPr>
                <w:rFonts w:hint="eastAsia" w:ascii="宋体" w:hAnsi="宋体" w:eastAsia="宋体" w:cs="宋体"/>
                <w:szCs w:val="21"/>
              </w:rPr>
              <w:t>第2.1</w:t>
            </w:r>
            <w:r>
              <w:rPr>
                <w:rFonts w:hint="eastAsia" w:ascii="宋体" w:hAnsi="宋体" w:eastAsia="宋体" w:cs="宋体"/>
                <w:szCs w:val="21"/>
                <w:lang w:val="zh-CN"/>
              </w:rPr>
              <w:t>款</w:t>
            </w:r>
          </w:p>
        </w:tc>
        <w:tc>
          <w:tcPr>
            <w:tcW w:w="1620" w:type="dxa"/>
            <w:tcBorders>
              <w:tl2br w:val="nil"/>
              <w:tr2bl w:val="nil"/>
            </w:tcBorders>
            <w:vAlign w:val="center"/>
          </w:tcPr>
          <w:p w14:paraId="1F3286DF">
            <w:pPr>
              <w:rPr>
                <w:rFonts w:hint="eastAsia" w:ascii="宋体" w:hAnsi="宋体" w:eastAsia="宋体" w:cs="宋体"/>
                <w:szCs w:val="21"/>
              </w:rPr>
            </w:pPr>
            <w:r>
              <w:rPr>
                <w:rFonts w:hint="eastAsia" w:ascii="宋体" w:hAnsi="宋体" w:eastAsia="宋体" w:cs="宋体"/>
                <w:szCs w:val="21"/>
              </w:rPr>
              <w:t>采购项目联系人姓名和电话</w:t>
            </w:r>
          </w:p>
        </w:tc>
        <w:tc>
          <w:tcPr>
            <w:tcW w:w="6100" w:type="dxa"/>
            <w:tcBorders>
              <w:tl2br w:val="nil"/>
              <w:tr2bl w:val="nil"/>
            </w:tcBorders>
            <w:vAlign w:val="center"/>
          </w:tcPr>
          <w:p w14:paraId="706CD4F4">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采购项目联系人姓名：</w:t>
            </w:r>
            <w:r>
              <w:rPr>
                <w:rFonts w:hint="eastAsia" w:ascii="宋体" w:hAnsi="宋体" w:eastAsia="宋体" w:cs="Times New Roman"/>
                <w:szCs w:val="21"/>
                <w:highlight w:val="none"/>
              </w:rPr>
              <w:t>甘老师</w:t>
            </w:r>
          </w:p>
          <w:p w14:paraId="1A327A79">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采购项目联系人电话：</w:t>
            </w:r>
            <w:r>
              <w:rPr>
                <w:rFonts w:hint="eastAsia" w:ascii="宋体" w:hAnsi="宋体" w:eastAsia="宋体" w:cs="Times New Roman"/>
                <w:szCs w:val="21"/>
                <w:highlight w:val="none"/>
              </w:rPr>
              <w:t>0731-22537501</w:t>
            </w:r>
          </w:p>
        </w:tc>
      </w:tr>
      <w:tr w14:paraId="47DC54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63C828D3">
            <w:pPr>
              <w:jc w:val="center"/>
              <w:rPr>
                <w:rFonts w:hint="eastAsia" w:ascii="宋体" w:hAnsi="宋体" w:eastAsia="宋体" w:cs="宋体"/>
                <w:szCs w:val="21"/>
              </w:rPr>
            </w:pPr>
            <w:r>
              <w:rPr>
                <w:rFonts w:hint="eastAsia" w:ascii="宋体" w:hAnsi="宋体" w:eastAsia="宋体" w:cs="宋体"/>
                <w:szCs w:val="21"/>
              </w:rPr>
              <w:t>第2.2</w:t>
            </w:r>
            <w:r>
              <w:rPr>
                <w:rFonts w:hint="eastAsia" w:ascii="宋体" w:hAnsi="宋体" w:eastAsia="宋体" w:cs="宋体"/>
                <w:szCs w:val="21"/>
                <w:lang w:val="zh-CN"/>
              </w:rPr>
              <w:t>款</w:t>
            </w:r>
          </w:p>
        </w:tc>
        <w:tc>
          <w:tcPr>
            <w:tcW w:w="1620" w:type="dxa"/>
            <w:tcBorders>
              <w:tl2br w:val="nil"/>
              <w:tr2bl w:val="nil"/>
            </w:tcBorders>
            <w:vAlign w:val="center"/>
          </w:tcPr>
          <w:p w14:paraId="10D30657">
            <w:pPr>
              <w:jc w:val="left"/>
              <w:rPr>
                <w:rFonts w:hint="eastAsia" w:ascii="宋体" w:hAnsi="宋体" w:eastAsia="宋体" w:cs="宋体"/>
                <w:szCs w:val="21"/>
              </w:rPr>
            </w:pPr>
            <w:r>
              <w:rPr>
                <w:rFonts w:hint="eastAsia" w:ascii="宋体" w:hAnsi="宋体" w:eastAsia="宋体" w:cs="宋体"/>
                <w:szCs w:val="21"/>
              </w:rPr>
              <w:t>采购人名称、地址、电话、联系人</w:t>
            </w:r>
          </w:p>
        </w:tc>
        <w:tc>
          <w:tcPr>
            <w:tcW w:w="6100" w:type="dxa"/>
            <w:tcBorders>
              <w:tl2br w:val="nil"/>
              <w:tr2bl w:val="nil"/>
            </w:tcBorders>
            <w:vAlign w:val="center"/>
          </w:tcPr>
          <w:p w14:paraId="0AA6E95D">
            <w:pPr>
              <w:snapToGrid w:val="0"/>
              <w:spacing w:line="380" w:lineRule="exact"/>
              <w:textAlignment w:val="baseline"/>
              <w:rPr>
                <w:rFonts w:hint="eastAsia" w:ascii="宋体" w:hAnsi="宋体" w:eastAsia="宋体" w:cs="Times New Roman"/>
                <w:szCs w:val="21"/>
                <w:highlight w:val="none"/>
              </w:rPr>
            </w:pPr>
            <w:r>
              <w:rPr>
                <w:rFonts w:hint="eastAsia" w:ascii="宋体" w:hAnsi="宋体" w:eastAsia="宋体" w:cs="Times New Roman"/>
                <w:szCs w:val="21"/>
                <w:highlight w:val="none"/>
              </w:rPr>
              <w:t>采购人名称：湖南化工职业技术学院</w:t>
            </w:r>
          </w:p>
          <w:p w14:paraId="40533947">
            <w:pPr>
              <w:snapToGrid w:val="0"/>
              <w:spacing w:line="380" w:lineRule="exact"/>
              <w:textAlignment w:val="baseline"/>
              <w:rPr>
                <w:rFonts w:hint="eastAsia" w:ascii="宋体" w:hAnsi="宋体" w:eastAsia="宋体" w:cs="Times New Roman"/>
                <w:szCs w:val="21"/>
                <w:highlight w:val="none"/>
              </w:rPr>
            </w:pPr>
            <w:r>
              <w:rPr>
                <w:rFonts w:hint="eastAsia" w:ascii="宋体" w:hAnsi="宋体" w:eastAsia="宋体" w:cs="Times New Roman"/>
                <w:szCs w:val="21"/>
                <w:highlight w:val="none"/>
              </w:rPr>
              <w:t xml:space="preserve">地址：株洲市云龙职教城智慧大道1号  </w:t>
            </w:r>
          </w:p>
          <w:p w14:paraId="53C91DE0">
            <w:pPr>
              <w:snapToGrid w:val="0"/>
              <w:spacing w:line="380" w:lineRule="exact"/>
              <w:textAlignment w:val="baseline"/>
              <w:rPr>
                <w:rFonts w:hint="eastAsia" w:ascii="宋体" w:hAnsi="宋体" w:eastAsia="宋体" w:cs="Times New Roman"/>
                <w:szCs w:val="21"/>
                <w:highlight w:val="none"/>
              </w:rPr>
            </w:pPr>
            <w:r>
              <w:rPr>
                <w:rFonts w:hint="eastAsia" w:ascii="宋体" w:hAnsi="宋体" w:eastAsia="宋体" w:cs="Times New Roman"/>
                <w:szCs w:val="21"/>
                <w:highlight w:val="none"/>
              </w:rPr>
              <w:t>联系人：甘老师</w:t>
            </w:r>
          </w:p>
          <w:p w14:paraId="658C0658">
            <w:pPr>
              <w:spacing w:line="360" w:lineRule="auto"/>
              <w:rPr>
                <w:rFonts w:hint="eastAsia" w:ascii="宋体" w:hAnsi="宋体" w:eastAsia="宋体" w:cs="宋体"/>
                <w:szCs w:val="21"/>
                <w:highlight w:val="none"/>
              </w:rPr>
            </w:pPr>
            <w:r>
              <w:rPr>
                <w:rFonts w:hint="eastAsia" w:ascii="宋体" w:hAnsi="宋体" w:eastAsia="宋体" w:cs="Times New Roman"/>
                <w:szCs w:val="21"/>
                <w:highlight w:val="none"/>
              </w:rPr>
              <w:t xml:space="preserve">电话：0731-22537501 </w:t>
            </w:r>
          </w:p>
        </w:tc>
      </w:tr>
      <w:tr w14:paraId="790DFE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6A9D0098">
            <w:pPr>
              <w:jc w:val="center"/>
              <w:rPr>
                <w:rFonts w:hint="eastAsia" w:ascii="宋体" w:hAnsi="宋体" w:eastAsia="宋体" w:cs="宋体"/>
                <w:szCs w:val="21"/>
              </w:rPr>
            </w:pPr>
            <w:r>
              <w:rPr>
                <w:rFonts w:hint="eastAsia" w:ascii="宋体" w:hAnsi="宋体" w:eastAsia="宋体" w:cs="宋体"/>
                <w:szCs w:val="21"/>
              </w:rPr>
              <w:t>第2.3</w:t>
            </w:r>
            <w:r>
              <w:rPr>
                <w:rFonts w:hint="eastAsia" w:ascii="宋体" w:hAnsi="宋体" w:eastAsia="宋体" w:cs="宋体"/>
                <w:szCs w:val="21"/>
                <w:lang w:val="zh-CN"/>
              </w:rPr>
              <w:t>款</w:t>
            </w:r>
          </w:p>
        </w:tc>
        <w:tc>
          <w:tcPr>
            <w:tcW w:w="1620" w:type="dxa"/>
            <w:tcBorders>
              <w:tl2br w:val="nil"/>
              <w:tr2bl w:val="nil"/>
            </w:tcBorders>
            <w:vAlign w:val="center"/>
          </w:tcPr>
          <w:p w14:paraId="242CC9BF">
            <w:pPr>
              <w:jc w:val="left"/>
              <w:rPr>
                <w:rFonts w:hint="eastAsia" w:ascii="宋体" w:hAnsi="宋体" w:eastAsia="宋体" w:cs="宋体"/>
                <w:szCs w:val="21"/>
              </w:rPr>
            </w:pPr>
            <w:r>
              <w:rPr>
                <w:rFonts w:hint="eastAsia" w:ascii="宋体" w:hAnsi="宋体" w:eastAsia="宋体" w:cs="宋体"/>
                <w:szCs w:val="21"/>
              </w:rPr>
              <w:t>采购代理机构名称、地址、电话、联系人</w:t>
            </w:r>
          </w:p>
        </w:tc>
        <w:tc>
          <w:tcPr>
            <w:tcW w:w="6100" w:type="dxa"/>
            <w:tcBorders>
              <w:tl2br w:val="nil"/>
              <w:tr2bl w:val="nil"/>
            </w:tcBorders>
            <w:vAlign w:val="center"/>
          </w:tcPr>
          <w:p w14:paraId="654467E5">
            <w:pPr>
              <w:spacing w:line="360" w:lineRule="auto"/>
              <w:rPr>
                <w:rFonts w:hint="eastAsia" w:ascii="宋体" w:hAnsi="宋体" w:eastAsia="宋体" w:cs="宋体"/>
                <w:szCs w:val="21"/>
              </w:rPr>
            </w:pPr>
            <w:r>
              <w:rPr>
                <w:rFonts w:hint="eastAsia" w:ascii="宋体" w:hAnsi="宋体" w:eastAsia="宋体" w:cs="宋体"/>
                <w:szCs w:val="21"/>
              </w:rPr>
              <w:t>名  称：湖南恒泽项目管理有限公司</w:t>
            </w:r>
          </w:p>
          <w:p w14:paraId="0C52AF49">
            <w:pPr>
              <w:spacing w:line="360" w:lineRule="auto"/>
              <w:rPr>
                <w:rFonts w:hint="eastAsia" w:ascii="宋体" w:hAnsi="宋体" w:eastAsia="宋体" w:cs="宋体"/>
                <w:szCs w:val="21"/>
              </w:rPr>
            </w:pPr>
            <w:r>
              <w:rPr>
                <w:rFonts w:hint="eastAsia" w:ascii="宋体" w:hAnsi="宋体" w:eastAsia="宋体" w:cs="宋体"/>
                <w:szCs w:val="21"/>
              </w:rPr>
              <w:t>地  址：长沙市天心区雀园路568号创谷产业园A1栋1220-1225房</w:t>
            </w:r>
          </w:p>
          <w:p w14:paraId="5B1B36FE">
            <w:pPr>
              <w:spacing w:line="360" w:lineRule="auto"/>
              <w:rPr>
                <w:rFonts w:hint="eastAsia" w:ascii="宋体" w:hAnsi="宋体" w:eastAsia="宋体" w:cs="宋体"/>
                <w:szCs w:val="21"/>
              </w:rPr>
            </w:pPr>
            <w:r>
              <w:rPr>
                <w:rFonts w:hint="eastAsia" w:ascii="宋体" w:hAnsi="宋体" w:eastAsia="宋体" w:cs="宋体"/>
                <w:szCs w:val="21"/>
              </w:rPr>
              <w:t xml:space="preserve">联系人：张冠军、张志鹏、胡艳、舒超凡、伍迎斌 </w:t>
            </w:r>
          </w:p>
          <w:p w14:paraId="3E19A64F">
            <w:pPr>
              <w:spacing w:line="360" w:lineRule="auto"/>
              <w:rPr>
                <w:rFonts w:hint="eastAsia" w:ascii="宋体" w:hAnsi="宋体" w:eastAsia="宋体" w:cs="宋体"/>
                <w:szCs w:val="21"/>
              </w:rPr>
            </w:pPr>
            <w:r>
              <w:rPr>
                <w:rFonts w:hint="eastAsia" w:ascii="宋体" w:hAnsi="宋体" w:eastAsia="宋体" w:cs="宋体"/>
                <w:szCs w:val="21"/>
              </w:rPr>
              <w:t>电  话：0731-82288998</w:t>
            </w:r>
          </w:p>
        </w:tc>
      </w:tr>
      <w:tr w14:paraId="4E6875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28D98695">
            <w:pPr>
              <w:jc w:val="center"/>
              <w:rPr>
                <w:rFonts w:hint="eastAsia" w:ascii="宋体" w:hAnsi="宋体" w:eastAsia="宋体" w:cs="宋体"/>
                <w:szCs w:val="21"/>
              </w:rPr>
            </w:pPr>
            <w:r>
              <w:rPr>
                <w:rFonts w:hint="eastAsia" w:ascii="宋体" w:hAnsi="宋体" w:eastAsia="宋体" w:cs="宋体"/>
                <w:szCs w:val="21"/>
              </w:rPr>
              <w:t>第3.1</w:t>
            </w:r>
            <w:r>
              <w:rPr>
                <w:rFonts w:hint="eastAsia" w:ascii="宋体" w:hAnsi="宋体" w:eastAsia="宋体" w:cs="宋体"/>
                <w:szCs w:val="21"/>
                <w:lang w:val="zh-CN"/>
              </w:rPr>
              <w:t>款</w:t>
            </w:r>
          </w:p>
        </w:tc>
        <w:tc>
          <w:tcPr>
            <w:tcW w:w="1620" w:type="dxa"/>
            <w:tcBorders>
              <w:tl2br w:val="nil"/>
              <w:tr2bl w:val="nil"/>
            </w:tcBorders>
            <w:vAlign w:val="center"/>
          </w:tcPr>
          <w:p w14:paraId="3C0CCDE2">
            <w:pPr>
              <w:jc w:val="left"/>
              <w:rPr>
                <w:rFonts w:hint="eastAsia" w:ascii="宋体" w:hAnsi="宋体" w:eastAsia="宋体" w:cs="宋体"/>
                <w:szCs w:val="21"/>
              </w:rPr>
            </w:pPr>
            <w:r>
              <w:rPr>
                <w:rFonts w:hint="eastAsia" w:ascii="宋体" w:hAnsi="宋体" w:eastAsia="宋体" w:cs="宋体"/>
                <w:szCs w:val="21"/>
              </w:rPr>
              <w:t>投标人资格条件</w:t>
            </w:r>
          </w:p>
        </w:tc>
        <w:tc>
          <w:tcPr>
            <w:tcW w:w="6100" w:type="dxa"/>
            <w:tcBorders>
              <w:tl2br w:val="nil"/>
              <w:tr2bl w:val="nil"/>
            </w:tcBorders>
            <w:vAlign w:val="center"/>
          </w:tcPr>
          <w:p w14:paraId="52432314">
            <w:pPr>
              <w:spacing w:line="360" w:lineRule="auto"/>
              <w:rPr>
                <w:rFonts w:ascii="Times New Roman" w:hAnsi="Times New Roman" w:eastAsia="宋体" w:cs="Times New Roman"/>
              </w:rPr>
            </w:pPr>
            <w:r>
              <w:rPr>
                <w:rFonts w:hint="eastAsia" w:ascii="Times New Roman" w:hAnsi="Times New Roman" w:eastAsia="宋体" w:cs="Times New Roman"/>
              </w:rPr>
              <w:t>1、投标人的基本资格条件：投标人必须是在中华人民共和国境内注册登记的法人、其他组织或者自然人，且应当符合《政府采购法》第二十二条第一款的规定，即：</w:t>
            </w:r>
          </w:p>
          <w:p w14:paraId="74A59725">
            <w:pPr>
              <w:spacing w:line="360" w:lineRule="auto"/>
              <w:rPr>
                <w:rFonts w:hint="eastAsia" w:ascii="宋体" w:hAnsi="宋体" w:eastAsia="宋体" w:cs="宋体"/>
                <w:szCs w:val="21"/>
              </w:rPr>
            </w:pPr>
            <w:r>
              <w:rPr>
                <w:rFonts w:hint="eastAsia" w:ascii="Times New Roman" w:hAnsi="Times New Roman" w:eastAsia="宋体" w:cs="Times New Roman"/>
              </w:rPr>
              <w:t>（1）具有独立</w:t>
            </w:r>
            <w:r>
              <w:rPr>
                <w:rFonts w:hint="eastAsia" w:ascii="宋体" w:hAnsi="宋体" w:eastAsia="宋体" w:cs="宋体"/>
                <w:szCs w:val="21"/>
              </w:rPr>
              <w:t>承担民事责任的能力；</w:t>
            </w:r>
          </w:p>
          <w:p w14:paraId="0FA46154">
            <w:pPr>
              <w:spacing w:line="360" w:lineRule="auto"/>
              <w:rPr>
                <w:rFonts w:hint="eastAsia" w:ascii="宋体" w:hAnsi="宋体" w:eastAsia="宋体" w:cs="宋体"/>
                <w:szCs w:val="21"/>
              </w:rPr>
            </w:pPr>
            <w:r>
              <w:rPr>
                <w:rFonts w:hint="eastAsia" w:ascii="宋体" w:hAnsi="宋体" w:eastAsia="宋体" w:cs="宋体"/>
                <w:szCs w:val="21"/>
              </w:rPr>
              <w:t>（2）具有良好的商业信誉和健全的财务会计制度；</w:t>
            </w:r>
          </w:p>
          <w:p w14:paraId="303682CC">
            <w:pPr>
              <w:spacing w:line="360" w:lineRule="auto"/>
              <w:rPr>
                <w:rFonts w:hint="eastAsia" w:ascii="宋体" w:hAnsi="宋体" w:eastAsia="宋体" w:cs="宋体"/>
                <w:szCs w:val="21"/>
              </w:rPr>
            </w:pPr>
            <w:r>
              <w:rPr>
                <w:rFonts w:hint="eastAsia" w:ascii="宋体" w:hAnsi="宋体" w:eastAsia="宋体" w:cs="宋体"/>
                <w:szCs w:val="21"/>
              </w:rPr>
              <w:t>（3）具有履行合同所必需的设备和专业技术能力；</w:t>
            </w:r>
          </w:p>
          <w:p w14:paraId="36449730">
            <w:pPr>
              <w:spacing w:line="360" w:lineRule="auto"/>
              <w:rPr>
                <w:rFonts w:hint="eastAsia" w:ascii="宋体" w:hAnsi="宋体" w:eastAsia="宋体" w:cs="宋体"/>
                <w:szCs w:val="21"/>
              </w:rPr>
            </w:pPr>
            <w:r>
              <w:rPr>
                <w:rFonts w:hint="eastAsia" w:ascii="宋体" w:hAnsi="宋体" w:eastAsia="宋体" w:cs="宋体"/>
                <w:szCs w:val="21"/>
              </w:rPr>
              <w:t>（4）有依法缴纳税收和社会保障资金的良好记录；</w:t>
            </w:r>
          </w:p>
          <w:p w14:paraId="0068E66E">
            <w:pPr>
              <w:spacing w:line="360" w:lineRule="auto"/>
              <w:rPr>
                <w:rFonts w:hint="eastAsia" w:ascii="宋体" w:hAnsi="宋体" w:eastAsia="宋体" w:cs="宋体"/>
                <w:szCs w:val="21"/>
              </w:rPr>
            </w:pPr>
            <w:r>
              <w:rPr>
                <w:rFonts w:hint="eastAsia" w:ascii="宋体" w:hAnsi="宋体" w:eastAsia="宋体" w:cs="宋体"/>
                <w:szCs w:val="21"/>
              </w:rPr>
              <w:t>（5）参加政府采购活动前三年内，在经营活动中没有 重大违法记录；</w:t>
            </w:r>
          </w:p>
          <w:p w14:paraId="535CC335">
            <w:pPr>
              <w:spacing w:line="360" w:lineRule="auto"/>
              <w:rPr>
                <w:rFonts w:hint="eastAsia" w:ascii="宋体" w:hAnsi="宋体" w:eastAsia="宋体" w:cs="宋体"/>
                <w:szCs w:val="21"/>
              </w:rPr>
            </w:pPr>
            <w:r>
              <w:rPr>
                <w:rFonts w:hint="eastAsia" w:ascii="宋体" w:hAnsi="宋体" w:eastAsia="宋体" w:cs="宋体"/>
                <w:szCs w:val="21"/>
              </w:rPr>
              <w:t xml:space="preserve">（6）法律、行政法规规定的其他条件。 </w:t>
            </w:r>
          </w:p>
          <w:p w14:paraId="28B99968">
            <w:pPr>
              <w:spacing w:line="360" w:lineRule="auto"/>
              <w:rPr>
                <w:rFonts w:hint="eastAsia" w:ascii="宋体" w:hAnsi="宋体" w:eastAsia="宋体" w:cs="宋体"/>
                <w:szCs w:val="21"/>
              </w:rPr>
            </w:pPr>
            <w:r>
              <w:rPr>
                <w:rFonts w:hint="eastAsia" w:ascii="宋体" w:hAnsi="宋体" w:eastAsia="宋体" w:cs="宋体"/>
                <w:szCs w:val="21"/>
              </w:rPr>
              <w:t>2、采购项目的特定资格条件：</w:t>
            </w:r>
          </w:p>
          <w:p w14:paraId="733EE1C7">
            <w:pPr>
              <w:spacing w:line="360" w:lineRule="auto"/>
              <w:rPr>
                <w:rFonts w:hint="eastAsia" w:ascii="宋体" w:hAnsi="宋体" w:eastAsia="宋体" w:cs="宋体"/>
                <w:szCs w:val="21"/>
              </w:rPr>
            </w:pPr>
            <w:r>
              <w:rPr>
                <w:rFonts w:hint="eastAsia" w:ascii="宋体" w:hAnsi="宋体" w:eastAsia="宋体" w:cs="宋体"/>
                <w:szCs w:val="21"/>
              </w:rPr>
              <w:t>无。</w:t>
            </w:r>
          </w:p>
        </w:tc>
      </w:tr>
      <w:tr w14:paraId="31467B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187339A2">
            <w:pPr>
              <w:jc w:val="center"/>
              <w:rPr>
                <w:rFonts w:hint="eastAsia" w:ascii="宋体" w:hAnsi="宋体" w:eastAsia="宋体" w:cs="宋体"/>
                <w:szCs w:val="21"/>
              </w:rPr>
            </w:pPr>
            <w:r>
              <w:rPr>
                <w:rFonts w:hint="eastAsia" w:ascii="宋体" w:hAnsi="宋体" w:eastAsia="宋体" w:cs="宋体"/>
                <w:szCs w:val="21"/>
              </w:rPr>
              <w:t>第3.2</w:t>
            </w:r>
            <w:r>
              <w:rPr>
                <w:rFonts w:hint="eastAsia" w:ascii="宋体" w:hAnsi="宋体" w:eastAsia="宋体" w:cs="宋体"/>
                <w:szCs w:val="21"/>
                <w:lang w:val="zh-CN"/>
              </w:rPr>
              <w:t>款</w:t>
            </w:r>
          </w:p>
        </w:tc>
        <w:tc>
          <w:tcPr>
            <w:tcW w:w="1620" w:type="dxa"/>
            <w:tcBorders>
              <w:tl2br w:val="nil"/>
              <w:tr2bl w:val="nil"/>
            </w:tcBorders>
            <w:vAlign w:val="center"/>
          </w:tcPr>
          <w:p w14:paraId="1776BC4B">
            <w:pPr>
              <w:jc w:val="left"/>
              <w:rPr>
                <w:rFonts w:hint="eastAsia" w:ascii="宋体" w:hAnsi="宋体" w:eastAsia="宋体" w:cs="宋体"/>
                <w:szCs w:val="21"/>
              </w:rPr>
            </w:pPr>
            <w:r>
              <w:rPr>
                <w:rFonts w:hint="eastAsia" w:ascii="宋体" w:hAnsi="宋体" w:eastAsia="宋体" w:cs="宋体"/>
                <w:szCs w:val="21"/>
              </w:rPr>
              <w:t>接受联合体形式投标</w:t>
            </w:r>
          </w:p>
        </w:tc>
        <w:tc>
          <w:tcPr>
            <w:tcW w:w="6100" w:type="dxa"/>
            <w:tcBorders>
              <w:tl2br w:val="nil"/>
              <w:tr2bl w:val="nil"/>
            </w:tcBorders>
            <w:vAlign w:val="center"/>
          </w:tcPr>
          <w:p w14:paraId="412244D0">
            <w:pPr>
              <w:spacing w:line="360" w:lineRule="auto"/>
              <w:rPr>
                <w:rFonts w:hint="eastAsia" w:ascii="宋体" w:hAnsi="宋体" w:eastAsia="宋体" w:cs="宋体"/>
                <w:szCs w:val="21"/>
              </w:rPr>
            </w:pPr>
            <w:r>
              <w:rPr>
                <w:rFonts w:hint="eastAsia" w:ascii="宋体" w:hAnsi="宋体" w:eastAsia="宋体" w:cs="宋体"/>
                <w:szCs w:val="21"/>
              </w:rPr>
              <w:t>□ 接受</w:t>
            </w:r>
          </w:p>
          <w:p w14:paraId="5AB6C8E9">
            <w:pPr>
              <w:spacing w:line="360" w:lineRule="auto"/>
              <w:rPr>
                <w:rFonts w:hint="eastAsia" w:ascii="宋体" w:hAnsi="宋体" w:eastAsia="宋体" w:cs="宋体"/>
                <w:szCs w:val="21"/>
              </w:rPr>
            </w:pPr>
            <w:r>
              <w:rPr>
                <w:rFonts w:hint="eastAsia" w:ascii="宋体" w:hAnsi="宋体" w:eastAsia="宋体" w:cs="宋体"/>
                <w:szCs w:val="21"/>
              </w:rPr>
              <w:t>■ 不接受</w:t>
            </w:r>
          </w:p>
        </w:tc>
      </w:tr>
      <w:tr w14:paraId="3E6236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77F5C91C">
            <w:pPr>
              <w:jc w:val="center"/>
              <w:rPr>
                <w:rFonts w:hint="eastAsia" w:ascii="宋体" w:hAnsi="宋体" w:eastAsia="宋体" w:cs="宋体"/>
                <w:szCs w:val="21"/>
              </w:rPr>
            </w:pPr>
            <w:r>
              <w:rPr>
                <w:rFonts w:hint="eastAsia" w:ascii="宋体" w:hAnsi="宋体" w:eastAsia="宋体" w:cs="宋体"/>
                <w:szCs w:val="21"/>
              </w:rPr>
              <w:t>第5.1</w:t>
            </w:r>
            <w:r>
              <w:rPr>
                <w:rFonts w:hint="eastAsia" w:ascii="宋体" w:hAnsi="宋体" w:eastAsia="宋体" w:cs="宋体"/>
                <w:szCs w:val="21"/>
                <w:lang w:val="zh-CN"/>
              </w:rPr>
              <w:t>款</w:t>
            </w:r>
          </w:p>
        </w:tc>
        <w:tc>
          <w:tcPr>
            <w:tcW w:w="1620" w:type="dxa"/>
            <w:tcBorders>
              <w:tl2br w:val="nil"/>
              <w:tr2bl w:val="nil"/>
            </w:tcBorders>
            <w:vAlign w:val="center"/>
          </w:tcPr>
          <w:p w14:paraId="2B312C96">
            <w:pPr>
              <w:jc w:val="left"/>
              <w:rPr>
                <w:rFonts w:hint="eastAsia" w:ascii="宋体" w:hAnsi="宋体" w:eastAsia="宋体" w:cs="宋体"/>
                <w:szCs w:val="21"/>
              </w:rPr>
            </w:pPr>
            <w:r>
              <w:rPr>
                <w:rFonts w:hint="eastAsia" w:ascii="宋体" w:hAnsi="宋体" w:eastAsia="宋体" w:cs="宋体"/>
                <w:szCs w:val="21"/>
              </w:rPr>
              <w:t>招标文件提供期限</w:t>
            </w:r>
          </w:p>
        </w:tc>
        <w:tc>
          <w:tcPr>
            <w:tcW w:w="6100" w:type="dxa"/>
            <w:tcBorders>
              <w:tl2br w:val="nil"/>
              <w:tr2bl w:val="nil"/>
            </w:tcBorders>
            <w:vAlign w:val="center"/>
          </w:tcPr>
          <w:p w14:paraId="1888423F">
            <w:pPr>
              <w:spacing w:line="360" w:lineRule="auto"/>
              <w:rPr>
                <w:rFonts w:hint="eastAsia" w:ascii="宋体" w:hAnsi="宋体" w:eastAsia="宋体" w:cs="宋体"/>
                <w:szCs w:val="21"/>
              </w:rPr>
            </w:pPr>
            <w:r>
              <w:rPr>
                <w:rFonts w:hint="eastAsia" w:ascii="宋体" w:hAnsi="宋体" w:eastAsia="宋体" w:cs="宋体"/>
                <w:szCs w:val="21"/>
              </w:rPr>
              <w:t>详见本项目招标文件第一章“投标邀请”</w:t>
            </w:r>
          </w:p>
        </w:tc>
      </w:tr>
      <w:tr w14:paraId="33E13F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58DF9D2B">
            <w:pPr>
              <w:jc w:val="center"/>
              <w:rPr>
                <w:rFonts w:hint="eastAsia" w:ascii="宋体" w:hAnsi="宋体" w:eastAsia="宋体" w:cs="宋体"/>
                <w:szCs w:val="21"/>
              </w:rPr>
            </w:pPr>
            <w:r>
              <w:rPr>
                <w:rFonts w:hint="eastAsia" w:ascii="宋体" w:hAnsi="宋体" w:eastAsia="宋体" w:cs="宋体"/>
                <w:szCs w:val="21"/>
              </w:rPr>
              <w:t>第5.2</w:t>
            </w:r>
            <w:r>
              <w:rPr>
                <w:rFonts w:hint="eastAsia" w:ascii="宋体" w:hAnsi="宋体" w:eastAsia="宋体" w:cs="宋体"/>
                <w:szCs w:val="21"/>
                <w:lang w:val="zh-CN"/>
              </w:rPr>
              <w:t>款</w:t>
            </w:r>
          </w:p>
        </w:tc>
        <w:tc>
          <w:tcPr>
            <w:tcW w:w="1620" w:type="dxa"/>
            <w:tcBorders>
              <w:tl2br w:val="nil"/>
              <w:tr2bl w:val="nil"/>
            </w:tcBorders>
            <w:vAlign w:val="center"/>
          </w:tcPr>
          <w:p w14:paraId="159D4F25">
            <w:pPr>
              <w:jc w:val="left"/>
              <w:rPr>
                <w:rFonts w:hint="eastAsia" w:ascii="宋体" w:hAnsi="宋体" w:eastAsia="宋体" w:cs="宋体"/>
                <w:szCs w:val="21"/>
              </w:rPr>
            </w:pPr>
            <w:r>
              <w:rPr>
                <w:rFonts w:hint="eastAsia" w:ascii="宋体" w:hAnsi="宋体" w:eastAsia="宋体" w:cs="宋体"/>
                <w:szCs w:val="21"/>
              </w:rPr>
              <w:t>组织现场考察或者召开答疑会</w:t>
            </w:r>
          </w:p>
        </w:tc>
        <w:tc>
          <w:tcPr>
            <w:tcW w:w="6100" w:type="dxa"/>
            <w:tcBorders>
              <w:tl2br w:val="nil"/>
              <w:tr2bl w:val="nil"/>
            </w:tcBorders>
            <w:vAlign w:val="center"/>
          </w:tcPr>
          <w:p w14:paraId="4EF1EDB8">
            <w:pPr>
              <w:spacing w:line="360" w:lineRule="auto"/>
              <w:rPr>
                <w:rFonts w:hint="eastAsia" w:ascii="宋体" w:hAnsi="宋体" w:eastAsia="宋体" w:cs="宋体"/>
                <w:szCs w:val="21"/>
              </w:rPr>
            </w:pPr>
            <w:r>
              <w:rPr>
                <w:rFonts w:hint="eastAsia" w:ascii="宋体" w:hAnsi="宋体" w:eastAsia="宋体" w:cs="宋体"/>
                <w:szCs w:val="21"/>
              </w:rPr>
              <w:t>■ 不组织</w:t>
            </w:r>
          </w:p>
          <w:p w14:paraId="32399D49">
            <w:pPr>
              <w:spacing w:line="360" w:lineRule="auto"/>
              <w:rPr>
                <w:rFonts w:hint="eastAsia" w:ascii="宋体" w:hAnsi="宋体" w:eastAsia="宋体" w:cs="宋体"/>
                <w:szCs w:val="21"/>
              </w:rPr>
            </w:pPr>
            <w:r>
              <w:rPr>
                <w:rFonts w:hint="eastAsia" w:ascii="宋体" w:hAnsi="宋体" w:eastAsia="宋体" w:cs="宋体"/>
                <w:szCs w:val="21"/>
              </w:rPr>
              <w:t>□ 组织。</w:t>
            </w:r>
          </w:p>
          <w:p w14:paraId="6753D382">
            <w:pPr>
              <w:spacing w:line="360" w:lineRule="auto"/>
              <w:rPr>
                <w:rFonts w:hint="eastAsia" w:ascii="宋体" w:hAnsi="宋体" w:eastAsia="宋体" w:cs="宋体"/>
                <w:szCs w:val="21"/>
                <w:u w:val="single"/>
              </w:rPr>
            </w:pPr>
            <w:r>
              <w:rPr>
                <w:rFonts w:hint="eastAsia" w:ascii="宋体" w:hAnsi="宋体" w:eastAsia="宋体" w:cs="宋体"/>
                <w:szCs w:val="21"/>
              </w:rPr>
              <w:t>现场考察或者召开答疑会时间：</w:t>
            </w:r>
            <w:r>
              <w:rPr>
                <w:rFonts w:hint="eastAsia" w:ascii="宋体" w:hAnsi="宋体" w:eastAsia="宋体" w:cs="宋体"/>
                <w:szCs w:val="21"/>
                <w:u w:val="single"/>
              </w:rPr>
              <w:tab/>
            </w:r>
            <w:r>
              <w:rPr>
                <w:rFonts w:hint="eastAsia" w:ascii="宋体" w:hAnsi="宋体" w:eastAsia="宋体" w:cs="宋体"/>
                <w:szCs w:val="21"/>
                <w:u w:val="single"/>
              </w:rPr>
              <w:tab/>
            </w:r>
            <w:r>
              <w:rPr>
                <w:rFonts w:hint="eastAsia" w:ascii="宋体" w:hAnsi="宋体" w:eastAsia="宋体" w:cs="宋体"/>
                <w:szCs w:val="21"/>
                <w:u w:val="single"/>
              </w:rPr>
              <w:t xml:space="preserve">    </w:t>
            </w:r>
          </w:p>
          <w:p w14:paraId="15E601D7">
            <w:pPr>
              <w:spacing w:line="360" w:lineRule="auto"/>
              <w:rPr>
                <w:rFonts w:hint="eastAsia" w:ascii="宋体" w:hAnsi="宋体" w:eastAsia="宋体" w:cs="宋体"/>
                <w:szCs w:val="21"/>
              </w:rPr>
            </w:pPr>
            <w:r>
              <w:rPr>
                <w:rFonts w:hint="eastAsia" w:ascii="宋体" w:hAnsi="宋体" w:eastAsia="宋体" w:cs="宋体"/>
                <w:szCs w:val="21"/>
              </w:rPr>
              <w:t>地点：</w:t>
            </w:r>
            <w:r>
              <w:rPr>
                <w:rFonts w:hint="eastAsia" w:ascii="宋体" w:hAnsi="宋体" w:eastAsia="宋体" w:cs="宋体"/>
                <w:szCs w:val="21"/>
                <w:u w:val="single"/>
              </w:rPr>
              <w:t xml:space="preserve">                         </w:t>
            </w:r>
          </w:p>
        </w:tc>
      </w:tr>
      <w:tr w14:paraId="7C8F8F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931" w:type="dxa"/>
            <w:gridSpan w:val="3"/>
            <w:tcBorders>
              <w:tl2br w:val="nil"/>
              <w:tr2bl w:val="nil"/>
            </w:tcBorders>
            <w:vAlign w:val="center"/>
          </w:tcPr>
          <w:p w14:paraId="635CDCCD">
            <w:pPr>
              <w:rPr>
                <w:rFonts w:hint="eastAsia" w:ascii="宋体" w:hAnsi="宋体" w:eastAsia="宋体" w:cs="宋体"/>
                <w:szCs w:val="21"/>
              </w:rPr>
            </w:pPr>
            <w:r>
              <w:rPr>
                <w:rFonts w:hint="eastAsia" w:ascii="宋体" w:hAnsi="宋体" w:eastAsia="宋体" w:cs="宋体"/>
                <w:b/>
                <w:bCs/>
                <w:szCs w:val="21"/>
              </w:rPr>
              <w:t>二、招标文件</w:t>
            </w:r>
          </w:p>
        </w:tc>
      </w:tr>
      <w:tr w14:paraId="73CE1D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2A82B6FE">
            <w:pPr>
              <w:jc w:val="center"/>
              <w:rPr>
                <w:rFonts w:hint="eastAsia" w:ascii="宋体" w:hAnsi="宋体" w:eastAsia="宋体" w:cs="宋体"/>
                <w:szCs w:val="21"/>
              </w:rPr>
            </w:pPr>
            <w:r>
              <w:rPr>
                <w:rFonts w:hint="eastAsia" w:ascii="宋体" w:hAnsi="宋体" w:eastAsia="宋体" w:cs="宋体"/>
                <w:szCs w:val="21"/>
              </w:rPr>
              <w:t>第7.4</w:t>
            </w:r>
            <w:r>
              <w:rPr>
                <w:rFonts w:hint="eastAsia" w:ascii="宋体" w:hAnsi="宋体" w:eastAsia="宋体" w:cs="宋体"/>
                <w:szCs w:val="21"/>
                <w:lang w:val="zh-CN"/>
              </w:rPr>
              <w:t>款</w:t>
            </w:r>
          </w:p>
        </w:tc>
        <w:tc>
          <w:tcPr>
            <w:tcW w:w="1620" w:type="dxa"/>
            <w:tcBorders>
              <w:tl2br w:val="nil"/>
              <w:tr2bl w:val="nil"/>
            </w:tcBorders>
            <w:vAlign w:val="center"/>
          </w:tcPr>
          <w:p w14:paraId="73B2EC89">
            <w:pPr>
              <w:jc w:val="left"/>
              <w:rPr>
                <w:rFonts w:hint="eastAsia" w:ascii="宋体" w:hAnsi="宋体" w:eastAsia="宋体" w:cs="宋体"/>
                <w:szCs w:val="21"/>
              </w:rPr>
            </w:pPr>
            <w:r>
              <w:rPr>
                <w:rFonts w:hint="eastAsia" w:ascii="宋体" w:hAnsi="宋体" w:eastAsia="宋体" w:cs="宋体"/>
                <w:szCs w:val="21"/>
              </w:rPr>
              <w:t>非实质性偏离的范围和幅度</w:t>
            </w:r>
          </w:p>
        </w:tc>
        <w:tc>
          <w:tcPr>
            <w:tcW w:w="6100" w:type="dxa"/>
            <w:tcBorders>
              <w:tl2br w:val="nil"/>
              <w:tr2bl w:val="nil"/>
            </w:tcBorders>
            <w:vAlign w:val="center"/>
          </w:tcPr>
          <w:p w14:paraId="322941CD">
            <w:pPr>
              <w:spacing w:line="360" w:lineRule="auto"/>
              <w:rPr>
                <w:rFonts w:hint="eastAsia" w:ascii="宋体" w:hAnsi="宋体" w:eastAsia="宋体" w:cs="宋体"/>
                <w:szCs w:val="21"/>
              </w:rPr>
            </w:pPr>
            <w:r>
              <w:rPr>
                <w:rFonts w:hint="eastAsia" w:ascii="宋体" w:hAnsi="宋体" w:eastAsia="宋体" w:cs="宋体"/>
                <w:szCs w:val="21"/>
              </w:rPr>
              <w:t>一般商务和技术条款负偏离项数之和﹥</w:t>
            </w:r>
            <w:r>
              <w:rPr>
                <w:rFonts w:hint="eastAsia" w:ascii="宋体" w:hAnsi="宋体" w:eastAsia="宋体" w:cs="宋体"/>
                <w:szCs w:val="21"/>
                <w:u w:val="single"/>
              </w:rPr>
              <w:t>10</w:t>
            </w:r>
            <w:r>
              <w:rPr>
                <w:rFonts w:hint="eastAsia" w:ascii="宋体" w:hAnsi="宋体" w:eastAsia="宋体" w:cs="宋体"/>
                <w:szCs w:val="21"/>
              </w:rPr>
              <w:t>项，其投标无效。</w:t>
            </w:r>
          </w:p>
        </w:tc>
      </w:tr>
      <w:tr w14:paraId="7B7D5D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453C814A">
            <w:pPr>
              <w:jc w:val="center"/>
              <w:rPr>
                <w:rFonts w:hint="eastAsia" w:ascii="宋体" w:hAnsi="宋体" w:eastAsia="宋体" w:cs="宋体"/>
                <w:szCs w:val="21"/>
              </w:rPr>
            </w:pPr>
            <w:r>
              <w:rPr>
                <w:rFonts w:hint="eastAsia" w:ascii="宋体" w:hAnsi="宋体" w:eastAsia="宋体" w:cs="宋体"/>
                <w:szCs w:val="21"/>
              </w:rPr>
              <w:t>第9.1</w:t>
            </w:r>
            <w:r>
              <w:rPr>
                <w:rFonts w:hint="eastAsia" w:ascii="宋体" w:hAnsi="宋体" w:eastAsia="宋体" w:cs="宋体"/>
                <w:szCs w:val="21"/>
                <w:lang w:val="zh-CN"/>
              </w:rPr>
              <w:t>款</w:t>
            </w:r>
          </w:p>
        </w:tc>
        <w:tc>
          <w:tcPr>
            <w:tcW w:w="1620" w:type="dxa"/>
            <w:tcBorders>
              <w:tl2br w:val="nil"/>
              <w:tr2bl w:val="nil"/>
            </w:tcBorders>
            <w:vAlign w:val="center"/>
          </w:tcPr>
          <w:p w14:paraId="3D38D584">
            <w:pPr>
              <w:jc w:val="left"/>
              <w:rPr>
                <w:rFonts w:hint="eastAsia" w:ascii="宋体" w:hAnsi="宋体" w:eastAsia="宋体" w:cs="宋体"/>
                <w:szCs w:val="21"/>
              </w:rPr>
            </w:pPr>
            <w:r>
              <w:rPr>
                <w:rFonts w:hint="eastAsia" w:ascii="宋体" w:hAnsi="宋体" w:eastAsia="宋体" w:cs="宋体"/>
                <w:szCs w:val="21"/>
              </w:rPr>
              <w:t>招标公告指定媒体</w:t>
            </w:r>
          </w:p>
        </w:tc>
        <w:tc>
          <w:tcPr>
            <w:tcW w:w="6100" w:type="dxa"/>
            <w:tcBorders>
              <w:tl2br w:val="nil"/>
              <w:tr2bl w:val="nil"/>
            </w:tcBorders>
            <w:vAlign w:val="center"/>
          </w:tcPr>
          <w:p w14:paraId="4863F66E">
            <w:pPr>
              <w:spacing w:line="360" w:lineRule="auto"/>
              <w:rPr>
                <w:rFonts w:hint="eastAsia" w:ascii="宋体" w:hAnsi="宋体" w:eastAsia="宋体" w:cs="宋体"/>
                <w:szCs w:val="21"/>
              </w:rPr>
            </w:pPr>
            <w:r>
              <w:rPr>
                <w:rFonts w:hint="eastAsia" w:ascii="宋体" w:hAnsi="宋体" w:eastAsia="宋体" w:cs="宋体"/>
                <w:szCs w:val="21"/>
              </w:rPr>
              <w:t>中国湖南政府采购网(www.ccgp-hunan.gov.cn)、</w:t>
            </w:r>
          </w:p>
          <w:p w14:paraId="3DF1ACC2">
            <w:pPr>
              <w:spacing w:line="360" w:lineRule="auto"/>
              <w:rPr>
                <w:rFonts w:hint="eastAsia" w:ascii="宋体" w:hAnsi="宋体" w:eastAsia="宋体" w:cs="宋体"/>
                <w:szCs w:val="21"/>
              </w:rPr>
            </w:pPr>
            <w:r>
              <w:rPr>
                <w:rFonts w:hint="eastAsia" w:ascii="宋体" w:hAnsi="宋体" w:eastAsia="宋体" w:cs="Times New Roman"/>
                <w:szCs w:val="21"/>
                <w:u w:val="single"/>
              </w:rPr>
              <w:t>湖南省公共资源交易服务平台株洲分平台</w:t>
            </w:r>
            <w:r>
              <w:rPr>
                <w:rFonts w:hint="eastAsia" w:ascii="宋体" w:hAnsi="宋体" w:eastAsia="宋体" w:cs="宋体"/>
                <w:szCs w:val="21"/>
              </w:rPr>
              <w:t>（</w:t>
            </w:r>
            <w:r>
              <w:rPr>
                <w:rFonts w:hint="eastAsia" w:ascii="宋体" w:hAnsi="宋体" w:eastAsia="宋体" w:cs="Times New Roman"/>
                <w:szCs w:val="21"/>
                <w:u w:val="single"/>
              </w:rPr>
              <w:t>https：//zhuzhou.hnsggzy.com</w:t>
            </w:r>
            <w:r>
              <w:rPr>
                <w:rFonts w:hint="eastAsia" w:ascii="宋体" w:hAnsi="宋体" w:eastAsia="宋体" w:cs="宋体"/>
                <w:szCs w:val="21"/>
              </w:rPr>
              <w:t>）</w:t>
            </w:r>
          </w:p>
        </w:tc>
      </w:tr>
      <w:tr w14:paraId="784F73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931" w:type="dxa"/>
            <w:gridSpan w:val="3"/>
            <w:tcBorders>
              <w:tl2br w:val="nil"/>
              <w:tr2bl w:val="nil"/>
            </w:tcBorders>
            <w:vAlign w:val="center"/>
          </w:tcPr>
          <w:p w14:paraId="1371301D">
            <w:pPr>
              <w:rPr>
                <w:rFonts w:hint="eastAsia" w:ascii="宋体" w:hAnsi="宋体" w:eastAsia="宋体" w:cs="宋体"/>
                <w:szCs w:val="21"/>
              </w:rPr>
            </w:pPr>
            <w:r>
              <w:rPr>
                <w:rFonts w:hint="eastAsia" w:ascii="宋体" w:hAnsi="宋体" w:eastAsia="宋体" w:cs="宋体"/>
                <w:b/>
                <w:bCs/>
                <w:szCs w:val="21"/>
              </w:rPr>
              <w:t>三、投标文件</w:t>
            </w:r>
          </w:p>
        </w:tc>
      </w:tr>
      <w:tr w14:paraId="142C5C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vMerge w:val="restart"/>
            <w:tcBorders>
              <w:tl2br w:val="nil"/>
              <w:tr2bl w:val="nil"/>
            </w:tcBorders>
            <w:vAlign w:val="center"/>
          </w:tcPr>
          <w:p w14:paraId="1B135F40">
            <w:pPr>
              <w:jc w:val="center"/>
              <w:rPr>
                <w:rFonts w:hint="eastAsia" w:ascii="宋体" w:hAnsi="宋体" w:eastAsia="宋体" w:cs="宋体"/>
                <w:szCs w:val="21"/>
              </w:rPr>
            </w:pPr>
            <w:r>
              <w:rPr>
                <w:rFonts w:hint="eastAsia" w:ascii="宋体" w:hAnsi="宋体" w:eastAsia="宋体" w:cs="宋体"/>
                <w:szCs w:val="21"/>
              </w:rPr>
              <w:t>第13.2</w:t>
            </w:r>
            <w:r>
              <w:rPr>
                <w:rFonts w:hint="eastAsia" w:ascii="宋体" w:hAnsi="宋体" w:eastAsia="宋体" w:cs="宋体"/>
                <w:szCs w:val="21"/>
                <w:lang w:val="zh-CN"/>
              </w:rPr>
              <w:t>款</w:t>
            </w:r>
          </w:p>
        </w:tc>
        <w:tc>
          <w:tcPr>
            <w:tcW w:w="1620" w:type="dxa"/>
            <w:tcBorders>
              <w:tl2br w:val="nil"/>
              <w:tr2bl w:val="nil"/>
            </w:tcBorders>
            <w:vAlign w:val="center"/>
          </w:tcPr>
          <w:p w14:paraId="5139CEA0">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采购项目预算</w:t>
            </w:r>
          </w:p>
        </w:tc>
        <w:tc>
          <w:tcPr>
            <w:tcW w:w="6100" w:type="dxa"/>
            <w:tcBorders>
              <w:tl2br w:val="nil"/>
              <w:tr2bl w:val="nil"/>
            </w:tcBorders>
          </w:tcPr>
          <w:p w14:paraId="31B8A8B1">
            <w:pPr>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u w:val="single"/>
                <w:lang w:val="en-US" w:eastAsia="zh-CN"/>
              </w:rPr>
              <w:t>4300000</w:t>
            </w:r>
            <w:r>
              <w:rPr>
                <w:rFonts w:hint="eastAsia" w:ascii="宋体" w:hAnsi="宋体" w:eastAsia="宋体" w:cs="宋体"/>
                <w:bCs/>
                <w:color w:val="auto"/>
                <w:szCs w:val="21"/>
                <w:highlight w:val="none"/>
                <w:u w:val="single"/>
              </w:rPr>
              <w:t xml:space="preserve">.00 </w:t>
            </w:r>
            <w:r>
              <w:rPr>
                <w:rFonts w:hint="eastAsia" w:ascii="宋体" w:hAnsi="宋体" w:eastAsia="宋体" w:cs="宋体"/>
                <w:color w:val="auto"/>
                <w:highlight w:val="none"/>
              </w:rPr>
              <w:t>元</w:t>
            </w:r>
          </w:p>
        </w:tc>
      </w:tr>
      <w:tr w14:paraId="703A41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211" w:type="dxa"/>
            <w:vMerge w:val="continue"/>
            <w:tcBorders>
              <w:tl2br w:val="nil"/>
              <w:tr2bl w:val="nil"/>
            </w:tcBorders>
            <w:vAlign w:val="center"/>
          </w:tcPr>
          <w:p w14:paraId="04E952AC">
            <w:pPr>
              <w:jc w:val="center"/>
              <w:rPr>
                <w:rFonts w:hint="eastAsia" w:ascii="宋体" w:hAnsi="宋体" w:eastAsia="宋体" w:cs="宋体"/>
                <w:szCs w:val="21"/>
              </w:rPr>
            </w:pPr>
          </w:p>
        </w:tc>
        <w:tc>
          <w:tcPr>
            <w:tcW w:w="1620" w:type="dxa"/>
            <w:tcBorders>
              <w:tl2br w:val="nil"/>
              <w:tr2bl w:val="nil"/>
            </w:tcBorders>
            <w:vAlign w:val="center"/>
          </w:tcPr>
          <w:p w14:paraId="061531FB">
            <w:pPr>
              <w:rPr>
                <w:rFonts w:hint="eastAsia" w:ascii="宋体" w:hAnsi="宋体" w:eastAsia="宋体" w:cs="宋体"/>
                <w:color w:val="auto"/>
                <w:szCs w:val="21"/>
              </w:rPr>
            </w:pPr>
            <w:r>
              <w:rPr>
                <w:rFonts w:hint="eastAsia" w:ascii="宋体" w:hAnsi="宋体" w:eastAsia="宋体" w:cs="宋体"/>
                <w:color w:val="auto"/>
                <w:szCs w:val="21"/>
              </w:rPr>
              <w:t>最高限价</w:t>
            </w:r>
          </w:p>
        </w:tc>
        <w:tc>
          <w:tcPr>
            <w:tcW w:w="6100" w:type="dxa"/>
            <w:tcBorders>
              <w:tl2br w:val="nil"/>
              <w:tr2bl w:val="nil"/>
            </w:tcBorders>
          </w:tcPr>
          <w:p w14:paraId="762B2513">
            <w:pPr>
              <w:spacing w:line="360" w:lineRule="auto"/>
              <w:rPr>
                <w:rFonts w:hint="eastAsia" w:ascii="宋体" w:hAnsi="宋体" w:eastAsia="宋体" w:cs="宋体"/>
                <w:color w:val="auto"/>
                <w:szCs w:val="21"/>
              </w:rPr>
            </w:pPr>
            <w:r>
              <w:rPr>
                <w:rFonts w:hint="eastAsia" w:ascii="宋体" w:hAnsi="宋体" w:eastAsia="宋体" w:cs="宋体"/>
                <w:color w:val="auto"/>
              </w:rPr>
              <w:t>¥</w:t>
            </w:r>
            <w:r>
              <w:rPr>
                <w:rFonts w:hint="eastAsia" w:ascii="宋体" w:hAnsi="宋体" w:eastAsia="宋体" w:cs="宋体"/>
                <w:color w:val="auto"/>
                <w:u w:val="single"/>
              </w:rPr>
              <w:t>4159542.00</w:t>
            </w:r>
            <w:r>
              <w:rPr>
                <w:rFonts w:hint="eastAsia" w:ascii="宋体" w:hAnsi="宋体" w:eastAsia="宋体" w:cs="宋体"/>
                <w:color w:val="auto"/>
              </w:rPr>
              <w:t>元</w:t>
            </w:r>
          </w:p>
        </w:tc>
      </w:tr>
      <w:tr w14:paraId="1E9374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 w:hRule="atLeast"/>
          <w:jc w:val="center"/>
        </w:trPr>
        <w:tc>
          <w:tcPr>
            <w:tcW w:w="1211" w:type="dxa"/>
            <w:vMerge w:val="continue"/>
            <w:tcBorders>
              <w:tl2br w:val="nil"/>
              <w:tr2bl w:val="nil"/>
            </w:tcBorders>
            <w:vAlign w:val="center"/>
          </w:tcPr>
          <w:p w14:paraId="05E68ED2">
            <w:pPr>
              <w:jc w:val="center"/>
              <w:rPr>
                <w:rFonts w:hint="eastAsia" w:ascii="宋体" w:hAnsi="宋体" w:eastAsia="宋体" w:cs="宋体"/>
                <w:szCs w:val="21"/>
              </w:rPr>
            </w:pPr>
          </w:p>
        </w:tc>
        <w:tc>
          <w:tcPr>
            <w:tcW w:w="1620" w:type="dxa"/>
            <w:tcBorders>
              <w:tl2br w:val="nil"/>
              <w:tr2bl w:val="nil"/>
            </w:tcBorders>
            <w:vAlign w:val="center"/>
          </w:tcPr>
          <w:p w14:paraId="7901BBEB">
            <w:pPr>
              <w:rPr>
                <w:rFonts w:hint="eastAsia" w:ascii="宋体" w:hAnsi="宋体" w:eastAsia="宋体" w:cs="宋体"/>
                <w:szCs w:val="21"/>
              </w:rPr>
            </w:pPr>
            <w:r>
              <w:rPr>
                <w:rFonts w:hint="eastAsia" w:ascii="宋体" w:hAnsi="宋体" w:eastAsia="宋体" w:cs="宋体"/>
                <w:szCs w:val="21"/>
              </w:rPr>
              <w:t>异常低价审查</w:t>
            </w:r>
          </w:p>
        </w:tc>
        <w:tc>
          <w:tcPr>
            <w:tcW w:w="6100" w:type="dxa"/>
            <w:tcBorders>
              <w:tl2br w:val="nil"/>
              <w:tr2bl w:val="nil"/>
            </w:tcBorders>
          </w:tcPr>
          <w:p w14:paraId="529317F6">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异常低价审查：</w:t>
            </w:r>
          </w:p>
          <w:p w14:paraId="700B204A">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出现下列情形之一的，评审委员会应当启动异常低价)投标（响应）审查程序：</w:t>
            </w:r>
          </w:p>
          <w:p w14:paraId="75E2B49C">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（1）投标（响应）报价低于全部通过符合性审查供应商投标（响应）报价平均值60%的，即投标（响应）报价＜全部通过符合性审查供应商投标（响应）报价平均值×60%；</w:t>
            </w:r>
          </w:p>
          <w:p w14:paraId="1537BD16">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（2）投标（响应）报价低于通过符合性审查的次低报价供应商投标（响应）报价55%的，即投标（响应）报价＜通过符合性审查的次低报价（响应）供应商投标报价×55%；</w:t>
            </w:r>
          </w:p>
          <w:p w14:paraId="165DA493">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（3）投标（响应）报价低于采购项目最高限价55%的，即投标（响应）报价＜采购项目最高限价×55%；</w:t>
            </w:r>
          </w:p>
          <w:p w14:paraId="217F5BFE">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（4）评审委员会基于专业判断，认为供应商报价过低，有可能影响产品质量或者不能诚信履约的其他情形（评审委员会有权对分项价格明显不合理的情形启动审查）。</w:t>
            </w:r>
          </w:p>
          <w:p w14:paraId="2DF8E8C8">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说明：（一）采购人可以结合具体项目实际情况，提高上述第1项至第3项中启动异常低价投标（响应）审查的数值标准，但是最高不得超过65%。</w:t>
            </w:r>
          </w:p>
          <w:p w14:paraId="4106FB66">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二）评审委员会在评审中发现【异常低价审查】规定情形之一的，评标委员会应当启动异常低价投标审查程序。评审委员会启动异常低价投标审查后，属于第1项至第4项情形的，应当要求相关供应商在评审现场合理的时间内对投标（响应）价格作出解释，提供项目具体成本测算等与报价合理性相关的书面说明及必要的证明材料，包括但不限于原材料成本、人工成本、制造费等，给予相关供应商的合理时间一般不少于30分钟。其中，属于第3项情形，供应商已随投标（响应）文件一并提交相关书面说明及必要的证明材料的，在评审现场可不再重复提交。</w:t>
            </w:r>
          </w:p>
          <w:p w14:paraId="43E7617B">
            <w:pPr>
              <w:spacing w:line="360" w:lineRule="auto"/>
              <w:rPr>
                <w:rFonts w:hint="eastAsia" w:ascii="宋体" w:hAnsi="宋体" w:eastAsia="宋体" w:cs="宋体"/>
              </w:rPr>
            </w:pPr>
            <w:r>
              <w:rPr>
                <w:rFonts w:hint="eastAsia" w:ascii="宋体" w:hAnsi="宋体" w:eastAsia="宋体" w:cs="宋体"/>
                <w:szCs w:val="21"/>
              </w:rPr>
              <w:t>（三）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3C634E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19FAF3EF">
            <w:pPr>
              <w:jc w:val="center"/>
              <w:rPr>
                <w:rFonts w:hint="eastAsia" w:ascii="宋体" w:hAnsi="宋体" w:eastAsia="宋体" w:cs="宋体"/>
                <w:szCs w:val="21"/>
              </w:rPr>
            </w:pPr>
            <w:r>
              <w:rPr>
                <w:rFonts w:hint="eastAsia" w:ascii="宋体" w:hAnsi="宋体" w:eastAsia="宋体" w:cs="宋体"/>
                <w:szCs w:val="21"/>
              </w:rPr>
              <w:t>第13.8款</w:t>
            </w:r>
          </w:p>
        </w:tc>
        <w:tc>
          <w:tcPr>
            <w:tcW w:w="1620" w:type="dxa"/>
            <w:tcBorders>
              <w:tl2br w:val="nil"/>
              <w:tr2bl w:val="nil"/>
            </w:tcBorders>
            <w:vAlign w:val="center"/>
          </w:tcPr>
          <w:p w14:paraId="4B6CE73F">
            <w:pPr>
              <w:jc w:val="left"/>
              <w:rPr>
                <w:rFonts w:hint="eastAsia" w:ascii="宋体" w:hAnsi="宋体" w:eastAsia="宋体" w:cs="宋体"/>
                <w:szCs w:val="21"/>
              </w:rPr>
            </w:pPr>
            <w:r>
              <w:rPr>
                <w:rFonts w:hint="eastAsia" w:ascii="宋体" w:hAnsi="宋体" w:eastAsia="宋体" w:cs="宋体"/>
                <w:szCs w:val="21"/>
              </w:rPr>
              <w:t>投标报价的其他要求</w:t>
            </w:r>
          </w:p>
        </w:tc>
        <w:tc>
          <w:tcPr>
            <w:tcW w:w="6100" w:type="dxa"/>
            <w:tcBorders>
              <w:tl2br w:val="nil"/>
              <w:tr2bl w:val="nil"/>
            </w:tcBorders>
            <w:vAlign w:val="center"/>
          </w:tcPr>
          <w:p w14:paraId="2BF04A68">
            <w:pPr>
              <w:spacing w:line="360" w:lineRule="auto"/>
              <w:rPr>
                <w:rFonts w:hint="eastAsia" w:ascii="宋体" w:hAnsi="宋体" w:eastAsia="宋体" w:cs="宋体"/>
                <w:szCs w:val="21"/>
              </w:rPr>
            </w:pPr>
            <w:r>
              <w:rPr>
                <w:rFonts w:hint="eastAsia" w:ascii="宋体" w:hAnsi="宋体" w:eastAsia="宋体" w:cs="宋体"/>
                <w:szCs w:val="21"/>
              </w:rPr>
              <w:t>评标委员会认为投标人的报价明显低于其他通过符合性审查投标人的报价，有可能影响产品质量或者不能诚信履约的，应当要求其在评审现场合理的时间内提供书面说明，必要时提供相关证明材料；投标人不能证明其报价合理性的，评标委员会将其作为无效投标处理。</w:t>
            </w:r>
          </w:p>
        </w:tc>
      </w:tr>
      <w:tr w14:paraId="3EDE6C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48C937BC">
            <w:pPr>
              <w:jc w:val="center"/>
              <w:rPr>
                <w:rFonts w:hint="eastAsia" w:ascii="宋体" w:hAnsi="宋体" w:eastAsia="宋体" w:cs="宋体"/>
                <w:szCs w:val="21"/>
              </w:rPr>
            </w:pPr>
            <w:r>
              <w:rPr>
                <w:rFonts w:hint="eastAsia" w:ascii="宋体" w:hAnsi="宋体" w:eastAsia="宋体" w:cs="宋体"/>
                <w:szCs w:val="21"/>
              </w:rPr>
              <w:t>第14.1款</w:t>
            </w:r>
          </w:p>
        </w:tc>
        <w:tc>
          <w:tcPr>
            <w:tcW w:w="1620" w:type="dxa"/>
            <w:tcBorders>
              <w:tl2br w:val="nil"/>
              <w:tr2bl w:val="nil"/>
            </w:tcBorders>
            <w:vAlign w:val="center"/>
          </w:tcPr>
          <w:p w14:paraId="6A6C1032">
            <w:pPr>
              <w:jc w:val="left"/>
              <w:rPr>
                <w:rFonts w:hint="eastAsia" w:ascii="宋体" w:hAnsi="宋体" w:eastAsia="宋体" w:cs="宋体"/>
                <w:szCs w:val="21"/>
              </w:rPr>
            </w:pPr>
            <w:r>
              <w:rPr>
                <w:rFonts w:hint="eastAsia" w:ascii="宋体" w:hAnsi="宋体" w:eastAsia="宋体" w:cs="宋体"/>
                <w:szCs w:val="21"/>
              </w:rPr>
              <w:t>投标人应提供的特定资格审查资料</w:t>
            </w:r>
          </w:p>
        </w:tc>
        <w:tc>
          <w:tcPr>
            <w:tcW w:w="6100" w:type="dxa"/>
            <w:tcBorders>
              <w:tl2br w:val="nil"/>
              <w:tr2bl w:val="nil"/>
            </w:tcBorders>
            <w:vAlign w:val="center"/>
          </w:tcPr>
          <w:p w14:paraId="4EB63364">
            <w:pPr>
              <w:spacing w:line="360" w:lineRule="auto"/>
              <w:rPr>
                <w:rFonts w:hint="eastAsia" w:ascii="宋体" w:hAnsi="宋体" w:eastAsia="宋体" w:cs="宋体"/>
              </w:rPr>
            </w:pPr>
            <w:r>
              <w:rPr>
                <w:rFonts w:hint="eastAsia" w:ascii="宋体" w:hAnsi="宋体" w:eastAsia="宋体" w:cs="宋体"/>
              </w:rPr>
              <w:t>无。</w:t>
            </w:r>
          </w:p>
        </w:tc>
      </w:tr>
      <w:tr w14:paraId="6FC573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75F09209">
            <w:pPr>
              <w:jc w:val="center"/>
              <w:rPr>
                <w:rFonts w:hint="eastAsia" w:ascii="宋体" w:hAnsi="宋体" w:eastAsia="宋体" w:cs="宋体"/>
                <w:szCs w:val="21"/>
              </w:rPr>
            </w:pPr>
            <w:r>
              <w:rPr>
                <w:rFonts w:hint="eastAsia" w:ascii="宋体" w:hAnsi="宋体" w:eastAsia="宋体" w:cs="宋体"/>
                <w:szCs w:val="21"/>
              </w:rPr>
              <w:t>第16.1</w:t>
            </w:r>
            <w:r>
              <w:rPr>
                <w:rFonts w:hint="eastAsia" w:ascii="宋体" w:hAnsi="宋体" w:eastAsia="宋体" w:cs="宋体"/>
                <w:szCs w:val="21"/>
                <w:lang w:val="zh-CN"/>
              </w:rPr>
              <w:t>款</w:t>
            </w:r>
          </w:p>
        </w:tc>
        <w:tc>
          <w:tcPr>
            <w:tcW w:w="1620" w:type="dxa"/>
            <w:tcBorders>
              <w:tl2br w:val="nil"/>
              <w:tr2bl w:val="nil"/>
            </w:tcBorders>
            <w:vAlign w:val="center"/>
          </w:tcPr>
          <w:p w14:paraId="291F6A71">
            <w:pPr>
              <w:jc w:val="left"/>
              <w:rPr>
                <w:rFonts w:hint="eastAsia" w:ascii="宋体" w:hAnsi="宋体" w:eastAsia="宋体" w:cs="宋体"/>
                <w:szCs w:val="21"/>
              </w:rPr>
            </w:pPr>
            <w:r>
              <w:rPr>
                <w:rFonts w:hint="eastAsia" w:ascii="宋体" w:hAnsi="宋体" w:eastAsia="宋体" w:cs="宋体"/>
                <w:szCs w:val="21"/>
              </w:rPr>
              <w:t>投标有效期</w:t>
            </w:r>
          </w:p>
        </w:tc>
        <w:tc>
          <w:tcPr>
            <w:tcW w:w="6100" w:type="dxa"/>
            <w:tcBorders>
              <w:tl2br w:val="nil"/>
              <w:tr2bl w:val="nil"/>
            </w:tcBorders>
            <w:vAlign w:val="center"/>
          </w:tcPr>
          <w:p w14:paraId="35433E9A">
            <w:pPr>
              <w:spacing w:line="360" w:lineRule="auto"/>
              <w:rPr>
                <w:rFonts w:hint="eastAsia" w:ascii="宋体" w:hAnsi="宋体" w:eastAsia="宋体" w:cs="宋体"/>
                <w:szCs w:val="21"/>
              </w:rPr>
            </w:pPr>
            <w:r>
              <w:rPr>
                <w:rFonts w:hint="eastAsia" w:ascii="宋体" w:hAnsi="宋体" w:eastAsia="宋体" w:cs="宋体"/>
                <w:szCs w:val="21"/>
              </w:rPr>
              <w:t>90日历天</w:t>
            </w:r>
          </w:p>
        </w:tc>
      </w:tr>
      <w:tr w14:paraId="0CC602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04F4D7D3">
            <w:pPr>
              <w:jc w:val="center"/>
              <w:rPr>
                <w:rFonts w:hint="eastAsia" w:ascii="宋体" w:hAnsi="宋体" w:eastAsia="宋体" w:cs="宋体"/>
                <w:szCs w:val="21"/>
              </w:rPr>
            </w:pPr>
            <w:r>
              <w:rPr>
                <w:rFonts w:hint="eastAsia" w:ascii="宋体" w:hAnsi="宋体" w:eastAsia="宋体" w:cs="宋体"/>
                <w:szCs w:val="21"/>
              </w:rPr>
              <w:t>第17.1</w:t>
            </w:r>
            <w:r>
              <w:rPr>
                <w:rFonts w:hint="eastAsia" w:ascii="宋体" w:hAnsi="宋体" w:eastAsia="宋体" w:cs="宋体"/>
                <w:szCs w:val="21"/>
                <w:lang w:val="zh-CN"/>
              </w:rPr>
              <w:t>款</w:t>
            </w:r>
          </w:p>
        </w:tc>
        <w:tc>
          <w:tcPr>
            <w:tcW w:w="1620" w:type="dxa"/>
            <w:tcBorders>
              <w:tl2br w:val="nil"/>
              <w:tr2bl w:val="nil"/>
            </w:tcBorders>
            <w:vAlign w:val="center"/>
          </w:tcPr>
          <w:p w14:paraId="400870E0">
            <w:pPr>
              <w:jc w:val="left"/>
              <w:rPr>
                <w:rFonts w:hint="eastAsia" w:ascii="宋体" w:hAnsi="宋体" w:eastAsia="宋体" w:cs="宋体"/>
                <w:szCs w:val="21"/>
              </w:rPr>
            </w:pPr>
            <w:r>
              <w:rPr>
                <w:rFonts w:hint="eastAsia" w:ascii="宋体" w:hAnsi="宋体" w:eastAsia="宋体" w:cs="宋体"/>
                <w:szCs w:val="21"/>
              </w:rPr>
              <w:t>投标保证金</w:t>
            </w:r>
          </w:p>
        </w:tc>
        <w:tc>
          <w:tcPr>
            <w:tcW w:w="6100" w:type="dxa"/>
            <w:tcBorders>
              <w:tl2br w:val="nil"/>
              <w:tr2bl w:val="nil"/>
            </w:tcBorders>
            <w:vAlign w:val="center"/>
          </w:tcPr>
          <w:p w14:paraId="1EDF1632">
            <w:pPr>
              <w:spacing w:line="360" w:lineRule="auto"/>
              <w:rPr>
                <w:rFonts w:ascii="Times New Roman" w:hAnsi="Times New Roman" w:eastAsia="宋体" w:cs="Times New Roman"/>
              </w:rPr>
            </w:pPr>
            <w:r>
              <w:rPr>
                <w:rFonts w:hint="eastAsia" w:ascii="Times New Roman" w:hAnsi="Times New Roman" w:eastAsia="宋体" w:cs="Times New Roman"/>
              </w:rPr>
              <w:t>■不要求提供</w:t>
            </w:r>
          </w:p>
          <w:p w14:paraId="6F634751">
            <w:pPr>
              <w:spacing w:line="360" w:lineRule="auto"/>
              <w:rPr>
                <w:rFonts w:ascii="Times New Roman" w:hAnsi="Times New Roman" w:eastAsia="宋体" w:cs="Times New Roman"/>
              </w:rPr>
            </w:pPr>
            <w:bookmarkStart w:id="28" w:name="OLE_LINK230"/>
            <w:r>
              <w:rPr>
                <w:rFonts w:hint="eastAsia" w:ascii="宋体" w:hAnsi="宋体" w:eastAsia="宋体" w:cs="宋体"/>
                <w:szCs w:val="21"/>
              </w:rPr>
              <w:t>□</w:t>
            </w:r>
            <w:bookmarkEnd w:id="28"/>
            <w:r>
              <w:rPr>
                <w:rFonts w:hint="eastAsia" w:ascii="宋体" w:hAnsi="宋体" w:eastAsia="宋体" w:cs="宋体"/>
                <w:szCs w:val="21"/>
              </w:rPr>
              <w:t xml:space="preserve"> </w:t>
            </w:r>
            <w:r>
              <w:rPr>
                <w:rFonts w:hint="eastAsia" w:ascii="Times New Roman" w:hAnsi="Times New Roman" w:eastAsia="宋体" w:cs="Times New Roman"/>
              </w:rPr>
              <w:t>要求提供：</w:t>
            </w:r>
          </w:p>
          <w:p w14:paraId="4EB3CF62">
            <w:pPr>
              <w:spacing w:line="360" w:lineRule="auto"/>
              <w:rPr>
                <w:rFonts w:ascii="Times New Roman" w:hAnsi="Times New Roman" w:eastAsia="宋体" w:cs="Times New Roman"/>
              </w:rPr>
            </w:pPr>
            <w:r>
              <w:rPr>
                <w:rFonts w:hint="eastAsia" w:ascii="Times New Roman" w:hAnsi="Times New Roman" w:eastAsia="宋体" w:cs="Times New Roman"/>
              </w:rPr>
              <w:t>人民币</w:t>
            </w:r>
            <w:r>
              <w:rPr>
                <w:rFonts w:hint="eastAsia" w:ascii="Times New Roman" w:hAnsi="Times New Roman" w:eastAsia="宋体" w:cs="Times New Roman"/>
                <w:b/>
                <w:bCs/>
                <w:u w:val="single"/>
              </w:rPr>
              <w:t xml:space="preserve"> </w:t>
            </w:r>
            <w:r>
              <w:rPr>
                <w:rFonts w:hint="eastAsia" w:ascii="宋体" w:hAnsi="宋体" w:eastAsia="宋体" w:cs="Times New Roman"/>
                <w:b/>
                <w:bCs/>
                <w:i/>
                <w:kern w:val="0"/>
                <w:szCs w:val="21"/>
                <w:u w:val="single"/>
              </w:rPr>
              <w:t xml:space="preserve">  /   </w:t>
            </w:r>
            <w:r>
              <w:rPr>
                <w:rFonts w:hint="eastAsia" w:ascii="Times New Roman" w:hAnsi="Times New Roman" w:eastAsia="宋体" w:cs="Times New Roman"/>
              </w:rPr>
              <w:t>元整（￥</w:t>
            </w:r>
            <w:r>
              <w:rPr>
                <w:rFonts w:hint="eastAsia" w:ascii="Times New Roman" w:hAnsi="Times New Roman" w:eastAsia="宋体" w:cs="Times New Roman"/>
                <w:u w:val="single"/>
              </w:rPr>
              <w:t xml:space="preserve">   </w:t>
            </w:r>
            <w:r>
              <w:rPr>
                <w:rFonts w:hint="eastAsia" w:ascii="宋体" w:hAnsi="宋体" w:eastAsia="宋体" w:cs="Times New Roman"/>
                <w:b/>
                <w:bCs/>
                <w:i/>
                <w:kern w:val="0"/>
                <w:szCs w:val="21"/>
                <w:u w:val="single"/>
              </w:rPr>
              <w:t xml:space="preserve">/ </w:t>
            </w:r>
            <w:r>
              <w:rPr>
                <w:rFonts w:hint="eastAsia" w:ascii="Times New Roman" w:hAnsi="Times New Roman" w:eastAsia="宋体" w:cs="Times New Roman"/>
                <w:u w:val="single"/>
              </w:rPr>
              <w:t xml:space="preserve">  </w:t>
            </w:r>
            <w:r>
              <w:rPr>
                <w:rFonts w:hint="eastAsia" w:ascii="Times New Roman" w:hAnsi="Times New Roman" w:eastAsia="宋体" w:cs="Times New Roman"/>
              </w:rPr>
              <w:t>元）。</w:t>
            </w:r>
          </w:p>
          <w:p w14:paraId="6327BE3D">
            <w:pPr>
              <w:spacing w:line="360" w:lineRule="auto"/>
              <w:rPr>
                <w:rFonts w:ascii="Times New Roman" w:hAnsi="Times New Roman" w:eastAsia="宋体" w:cs="Times New Roman"/>
              </w:rPr>
            </w:pPr>
            <w:r>
              <w:rPr>
                <w:rFonts w:hint="eastAsia" w:ascii="Times New Roman" w:hAnsi="Times New Roman" w:eastAsia="宋体" w:cs="Times New Roman"/>
              </w:rPr>
              <w:t>递交方式：■电子保函；■转账；□其他；</w:t>
            </w:r>
          </w:p>
          <w:p w14:paraId="06BA099F">
            <w:pPr>
              <w:spacing w:line="360" w:lineRule="auto"/>
              <w:rPr>
                <w:rFonts w:ascii="Times New Roman" w:hAnsi="Times New Roman" w:eastAsia="宋体" w:cs="Times New Roman"/>
              </w:rPr>
            </w:pPr>
            <w:r>
              <w:rPr>
                <w:rFonts w:hint="eastAsia" w:ascii="Times New Roman" w:hAnsi="Times New Roman" w:eastAsia="宋体" w:cs="Times New Roman"/>
              </w:rPr>
              <w:t>1.1转账方式：</w:t>
            </w:r>
          </w:p>
          <w:p w14:paraId="2A0FDBF9">
            <w:pPr>
              <w:spacing w:line="360" w:lineRule="auto"/>
              <w:rPr>
                <w:rFonts w:ascii="Times New Roman" w:hAnsi="Times New Roman" w:eastAsia="宋体" w:cs="Times New Roman"/>
              </w:rPr>
            </w:pPr>
            <w:r>
              <w:rPr>
                <w:rFonts w:hint="eastAsia" w:ascii="Times New Roman" w:hAnsi="Times New Roman" w:eastAsia="宋体" w:cs="Times New Roman"/>
              </w:rPr>
              <w:t>账户名称：株洲市公共资源交易中心交易保证金专户</w:t>
            </w:r>
          </w:p>
          <w:p w14:paraId="3D76B6AD">
            <w:pPr>
              <w:spacing w:line="360" w:lineRule="auto"/>
              <w:rPr>
                <w:rFonts w:ascii="Times New Roman" w:hAnsi="Times New Roman" w:eastAsia="宋体" w:cs="Times New Roman"/>
              </w:rPr>
            </w:pPr>
            <w:r>
              <w:rPr>
                <w:rFonts w:hint="eastAsia" w:ascii="Times New Roman" w:hAnsi="Times New Roman" w:eastAsia="宋体" w:cs="Times New Roman"/>
              </w:rPr>
              <w:t>开户银行：中国建设银行股份有限公司株洲湘银支行</w:t>
            </w:r>
          </w:p>
          <w:p w14:paraId="0E4ACED0">
            <w:pPr>
              <w:spacing w:line="360" w:lineRule="auto"/>
              <w:rPr>
                <w:rFonts w:ascii="Times New Roman" w:hAnsi="Times New Roman" w:eastAsia="宋体" w:cs="Times New Roman"/>
              </w:rPr>
            </w:pPr>
            <w:r>
              <w:rPr>
                <w:rFonts w:hint="eastAsia" w:ascii="Times New Roman" w:hAnsi="Times New Roman" w:eastAsia="宋体" w:cs="Times New Roman"/>
              </w:rPr>
              <w:t>银行账号：</w:t>
            </w:r>
          </w:p>
          <w:p w14:paraId="66ECAB5F">
            <w:pPr>
              <w:spacing w:line="360" w:lineRule="auto"/>
              <w:rPr>
                <w:rFonts w:ascii="Times New Roman" w:hAnsi="Times New Roman" w:eastAsia="宋体" w:cs="Times New Roman"/>
              </w:rPr>
            </w:pPr>
            <w:r>
              <w:rPr>
                <w:rFonts w:hint="eastAsia" w:ascii="Times New Roman" w:hAnsi="Times New Roman" w:eastAsia="宋体" w:cs="Times New Roman"/>
              </w:rPr>
              <w:t>4300 1500 5620 5966 6666-*****</w:t>
            </w:r>
          </w:p>
          <w:p w14:paraId="207742FD">
            <w:pPr>
              <w:spacing w:line="360" w:lineRule="auto"/>
              <w:rPr>
                <w:rFonts w:ascii="Times New Roman" w:hAnsi="Times New Roman" w:eastAsia="宋体" w:cs="Times New Roman"/>
              </w:rPr>
            </w:pPr>
            <w:r>
              <w:rPr>
                <w:rFonts w:hint="eastAsia" w:ascii="Times New Roman" w:hAnsi="Times New Roman" w:eastAsia="宋体" w:cs="Times New Roman"/>
              </w:rPr>
              <w:t>该账号仅为此项目的保证金托管账户，请勿与其他项目的账号混淆，发生串户则视为无效保证金。</w:t>
            </w:r>
          </w:p>
          <w:p w14:paraId="1A51B7D5">
            <w:pPr>
              <w:spacing w:line="360" w:lineRule="auto"/>
              <w:rPr>
                <w:rFonts w:ascii="Times New Roman" w:hAnsi="Times New Roman" w:eastAsia="宋体" w:cs="Times New Roman"/>
              </w:rPr>
            </w:pPr>
            <w:r>
              <w:rPr>
                <w:rFonts w:hint="eastAsia" w:ascii="Times New Roman" w:hAnsi="Times New Roman" w:eastAsia="宋体" w:cs="Times New Roman"/>
              </w:rPr>
              <w:t>（1）在转账票据摘要处须注明：“（项目名称）投标保证金”。（如“项目名称”字符过多，转账票据摘要处填写不下的，则“取‘项目名称’前面字符”填入。）</w:t>
            </w:r>
          </w:p>
          <w:p w14:paraId="4C062AA3">
            <w:pPr>
              <w:spacing w:line="360" w:lineRule="auto"/>
              <w:rPr>
                <w:rFonts w:ascii="Times New Roman" w:hAnsi="Times New Roman" w:eastAsia="宋体" w:cs="Times New Roman"/>
              </w:rPr>
            </w:pPr>
            <w:r>
              <w:rPr>
                <w:rFonts w:hint="eastAsia" w:ascii="Times New Roman" w:hAnsi="Times New Roman" w:eastAsia="宋体" w:cs="Times New Roman"/>
              </w:rPr>
              <w:t>（2）投标保证金到账截止时间为投标截止时间。（为确保投标保证金按时到账，请投标人于开标日前一个工作日下午3：00 前提交，并注意交纳保证金的银行账号中含有“-”号。）</w:t>
            </w:r>
          </w:p>
          <w:p w14:paraId="239E9B43">
            <w:pPr>
              <w:spacing w:line="360" w:lineRule="auto"/>
              <w:rPr>
                <w:rFonts w:ascii="Times New Roman" w:hAnsi="Times New Roman" w:eastAsia="宋体" w:cs="Times New Roman"/>
              </w:rPr>
            </w:pPr>
            <w:r>
              <w:rPr>
                <w:rFonts w:ascii="Times New Roman" w:hAnsi="Times New Roman" w:eastAsia="宋体" w:cs="Times New Roman"/>
              </w:rPr>
              <w:t xml:space="preserve">1.2 </w:t>
            </w:r>
            <w:r>
              <w:rPr>
                <w:rFonts w:hint="eastAsia" w:ascii="Times New Roman" w:hAnsi="Times New Roman" w:eastAsia="宋体" w:cs="Times New Roman"/>
              </w:rPr>
              <w:t>电子保函：包括银行电子保函、电子担保保函、投标保证保险。电子保函办理网址为：https：//dzbh.zhzhuzhou.cn：28080/，也可从湖南省公共资源交易服务平台株洲分平台（交易系统）跳转。具体操作请登录株洲市公共资源交易中心门户网站—操作指南— 《株洲市电子保函服务平台政府采购投标人操作手册》了解。</w:t>
            </w:r>
          </w:p>
          <w:p w14:paraId="16B73056">
            <w:pPr>
              <w:spacing w:line="360" w:lineRule="auto"/>
              <w:rPr>
                <w:rFonts w:ascii="Times New Roman" w:hAnsi="Times New Roman" w:eastAsia="宋体" w:cs="Times New Roman"/>
              </w:rPr>
            </w:pPr>
            <w:r>
              <w:rPr>
                <w:rFonts w:hint="eastAsia" w:ascii="Times New Roman" w:hAnsi="Times New Roman" w:eastAsia="宋体" w:cs="Times New Roman"/>
                <w:b/>
                <w:bCs/>
              </w:rPr>
              <w:t>注：投标保证金金额如与招标文件第一章投标邀请第9条投标保证金计算金额不一致的，以本条金额为准。</w:t>
            </w:r>
          </w:p>
        </w:tc>
      </w:tr>
      <w:tr w14:paraId="371DE1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2352FA26">
            <w:pPr>
              <w:jc w:val="center"/>
              <w:rPr>
                <w:rFonts w:hint="eastAsia" w:ascii="宋体" w:hAnsi="宋体" w:eastAsia="宋体" w:cs="宋体"/>
                <w:szCs w:val="21"/>
              </w:rPr>
            </w:pPr>
            <w:r>
              <w:rPr>
                <w:rFonts w:hint="eastAsia" w:ascii="宋体" w:hAnsi="宋体" w:eastAsia="宋体" w:cs="宋体"/>
                <w:szCs w:val="21"/>
              </w:rPr>
              <w:t>第18.1</w:t>
            </w:r>
            <w:r>
              <w:rPr>
                <w:rFonts w:hint="eastAsia" w:ascii="宋体" w:hAnsi="宋体" w:eastAsia="宋体" w:cs="宋体"/>
                <w:szCs w:val="21"/>
                <w:lang w:val="zh-CN"/>
              </w:rPr>
              <w:t>款</w:t>
            </w:r>
          </w:p>
        </w:tc>
        <w:tc>
          <w:tcPr>
            <w:tcW w:w="1620" w:type="dxa"/>
            <w:tcBorders>
              <w:tl2br w:val="nil"/>
              <w:tr2bl w:val="nil"/>
            </w:tcBorders>
            <w:vAlign w:val="center"/>
          </w:tcPr>
          <w:p w14:paraId="415343CB">
            <w:pPr>
              <w:jc w:val="left"/>
              <w:rPr>
                <w:rFonts w:hint="eastAsia" w:ascii="宋体" w:hAnsi="宋体" w:eastAsia="宋体" w:cs="宋体"/>
                <w:szCs w:val="21"/>
              </w:rPr>
            </w:pPr>
            <w:r>
              <w:rPr>
                <w:rFonts w:hint="eastAsia" w:ascii="宋体" w:hAnsi="宋体" w:eastAsia="宋体" w:cs="宋体"/>
                <w:szCs w:val="21"/>
              </w:rPr>
              <w:t>分包</w:t>
            </w:r>
          </w:p>
        </w:tc>
        <w:tc>
          <w:tcPr>
            <w:tcW w:w="6100" w:type="dxa"/>
            <w:tcBorders>
              <w:tl2br w:val="nil"/>
              <w:tr2bl w:val="nil"/>
            </w:tcBorders>
            <w:vAlign w:val="center"/>
          </w:tcPr>
          <w:p w14:paraId="325CA13B">
            <w:pPr>
              <w:spacing w:line="360" w:lineRule="auto"/>
              <w:rPr>
                <w:rFonts w:hint="eastAsia" w:ascii="宋体" w:hAnsi="宋体" w:eastAsia="宋体" w:cs="宋体"/>
                <w:b/>
                <w:bCs/>
                <w:szCs w:val="21"/>
              </w:rPr>
            </w:pPr>
            <w:r>
              <w:rPr>
                <w:rFonts w:hint="eastAsia" w:ascii="Times New Roman" w:hAnsi="Times New Roman" w:eastAsia="宋体" w:cs="Times New Roman"/>
              </w:rPr>
              <w:t>■</w:t>
            </w:r>
            <w:r>
              <w:rPr>
                <w:rFonts w:hint="eastAsia" w:ascii="宋体" w:hAnsi="宋体" w:eastAsia="宋体" w:cs="宋体"/>
                <w:b/>
                <w:bCs/>
                <w:szCs w:val="21"/>
              </w:rPr>
              <w:t xml:space="preserve"> 不允许</w:t>
            </w:r>
          </w:p>
          <w:p w14:paraId="26A23026">
            <w:pPr>
              <w:spacing w:line="360" w:lineRule="auto"/>
              <w:rPr>
                <w:rFonts w:hint="eastAsia" w:ascii="宋体" w:hAnsi="宋体" w:eastAsia="宋体" w:cs="宋体"/>
                <w:b/>
                <w:bCs/>
                <w:szCs w:val="21"/>
                <w:u w:val="single"/>
              </w:rPr>
            </w:pPr>
            <w:r>
              <w:rPr>
                <w:rFonts w:hint="eastAsia" w:ascii="宋体" w:hAnsi="宋体" w:eastAsia="宋体" w:cs="宋体"/>
                <w:szCs w:val="21"/>
              </w:rPr>
              <w:t>□</w:t>
            </w:r>
            <w:r>
              <w:rPr>
                <w:rFonts w:hint="eastAsia" w:ascii="Times New Roman" w:hAnsi="Times New Roman" w:eastAsia="宋体" w:cs="Times New Roman"/>
              </w:rPr>
              <w:t xml:space="preserve"> 允许，允许在中标后将中标项目的非主体、非关键性工作进行分包，但须满足下列条件：</w:t>
            </w:r>
            <w:r>
              <w:rPr>
                <w:rFonts w:hint="eastAsia" w:ascii="Times New Roman" w:hAnsi="Times New Roman" w:eastAsia="宋体" w:cs="Times New Roman"/>
                <w:u w:val="single"/>
              </w:rPr>
              <w:t xml:space="preserve">       </w:t>
            </w:r>
            <w:r>
              <w:rPr>
                <w:rFonts w:hint="eastAsia" w:ascii="Times New Roman" w:hAnsi="Times New Roman" w:eastAsia="宋体" w:cs="Times New Roman"/>
              </w:rPr>
              <w:t>。</w:t>
            </w:r>
          </w:p>
        </w:tc>
      </w:tr>
      <w:tr w14:paraId="0EA730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106EE71B">
            <w:pPr>
              <w:jc w:val="center"/>
              <w:rPr>
                <w:rFonts w:hint="eastAsia" w:ascii="宋体" w:hAnsi="宋体" w:eastAsia="宋体" w:cs="宋体"/>
                <w:szCs w:val="21"/>
              </w:rPr>
            </w:pPr>
            <w:r>
              <w:rPr>
                <w:rFonts w:hint="eastAsia" w:ascii="宋体" w:hAnsi="宋体" w:eastAsia="宋体" w:cs="宋体"/>
                <w:szCs w:val="21"/>
              </w:rPr>
              <w:t>第19.1款</w:t>
            </w:r>
          </w:p>
        </w:tc>
        <w:tc>
          <w:tcPr>
            <w:tcW w:w="1620" w:type="dxa"/>
            <w:tcBorders>
              <w:tl2br w:val="nil"/>
              <w:tr2bl w:val="nil"/>
            </w:tcBorders>
            <w:vAlign w:val="center"/>
          </w:tcPr>
          <w:p w14:paraId="09A4A80A">
            <w:pPr>
              <w:jc w:val="left"/>
              <w:rPr>
                <w:rFonts w:hint="eastAsia" w:ascii="宋体" w:hAnsi="宋体" w:eastAsia="宋体" w:cs="宋体"/>
                <w:szCs w:val="21"/>
              </w:rPr>
            </w:pPr>
            <w:r>
              <w:rPr>
                <w:rFonts w:hint="eastAsia" w:ascii="宋体" w:hAnsi="宋体" w:eastAsia="宋体" w:cs="宋体"/>
                <w:szCs w:val="21"/>
              </w:rPr>
              <w:t>投标文件份数</w:t>
            </w:r>
          </w:p>
        </w:tc>
        <w:tc>
          <w:tcPr>
            <w:tcW w:w="6100" w:type="dxa"/>
            <w:tcBorders>
              <w:tl2br w:val="nil"/>
              <w:tr2bl w:val="nil"/>
            </w:tcBorders>
            <w:vAlign w:val="center"/>
          </w:tcPr>
          <w:p w14:paraId="0CCF4813">
            <w:pPr>
              <w:spacing w:line="360" w:lineRule="auto"/>
              <w:rPr>
                <w:rFonts w:hint="eastAsia" w:ascii="宋体" w:hAnsi="宋体" w:eastAsia="宋体" w:cs="宋体"/>
                <w:szCs w:val="21"/>
              </w:rPr>
            </w:pPr>
            <w:r>
              <w:rPr>
                <w:rFonts w:hint="eastAsia" w:ascii="宋体" w:hAnsi="宋体" w:eastAsia="宋体" w:cs="宋体"/>
                <w:szCs w:val="21"/>
              </w:rPr>
              <w:t>电子版投标文件 1 份（系统上传）</w:t>
            </w:r>
          </w:p>
          <w:p w14:paraId="070CBC79">
            <w:pPr>
              <w:spacing w:line="360" w:lineRule="auto"/>
              <w:rPr>
                <w:rFonts w:hint="eastAsia" w:ascii="宋体" w:hAnsi="宋体" w:eastAsia="宋体" w:cs="宋体"/>
                <w:szCs w:val="21"/>
              </w:rPr>
            </w:pPr>
            <w:r>
              <w:rPr>
                <w:rFonts w:hint="eastAsia" w:ascii="宋体" w:hAnsi="宋体" w:eastAsia="宋体" w:cs="宋体"/>
                <w:szCs w:val="21"/>
              </w:rPr>
              <w:t>中标人在中标后向采购代理机构提供2份与电子投标文件完全一致的胶装纸质投标文件，不分正副本。</w:t>
            </w:r>
          </w:p>
        </w:tc>
      </w:tr>
      <w:tr w14:paraId="027D5F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931" w:type="dxa"/>
            <w:gridSpan w:val="3"/>
            <w:tcBorders>
              <w:tl2br w:val="nil"/>
              <w:tr2bl w:val="nil"/>
            </w:tcBorders>
            <w:vAlign w:val="center"/>
          </w:tcPr>
          <w:p w14:paraId="3F0D763A">
            <w:pPr>
              <w:rPr>
                <w:rFonts w:hint="eastAsia" w:ascii="宋体" w:hAnsi="宋体" w:eastAsia="宋体" w:cs="宋体"/>
                <w:szCs w:val="21"/>
              </w:rPr>
            </w:pPr>
            <w:r>
              <w:rPr>
                <w:rFonts w:hint="eastAsia" w:ascii="宋体" w:hAnsi="宋体" w:eastAsia="宋体" w:cs="宋体"/>
                <w:b/>
                <w:bCs/>
                <w:szCs w:val="21"/>
              </w:rPr>
              <w:t>四、投标</w:t>
            </w:r>
          </w:p>
        </w:tc>
      </w:tr>
      <w:tr w14:paraId="413454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1EC174BE">
            <w:pPr>
              <w:jc w:val="center"/>
              <w:rPr>
                <w:rFonts w:hint="eastAsia" w:ascii="宋体" w:hAnsi="宋体" w:eastAsia="宋体" w:cs="宋体"/>
                <w:szCs w:val="21"/>
              </w:rPr>
            </w:pPr>
            <w:r>
              <w:rPr>
                <w:rFonts w:hint="eastAsia" w:ascii="宋体" w:hAnsi="宋体" w:eastAsia="宋体" w:cs="宋体"/>
                <w:szCs w:val="21"/>
              </w:rPr>
              <w:t>第21.1</w:t>
            </w:r>
            <w:r>
              <w:rPr>
                <w:rFonts w:hint="eastAsia" w:ascii="宋体" w:hAnsi="宋体" w:eastAsia="宋体" w:cs="宋体"/>
                <w:szCs w:val="21"/>
                <w:lang w:val="zh-CN"/>
              </w:rPr>
              <w:t>款</w:t>
            </w:r>
          </w:p>
        </w:tc>
        <w:tc>
          <w:tcPr>
            <w:tcW w:w="1620" w:type="dxa"/>
            <w:tcBorders>
              <w:tl2br w:val="nil"/>
              <w:tr2bl w:val="nil"/>
            </w:tcBorders>
            <w:vAlign w:val="center"/>
          </w:tcPr>
          <w:p w14:paraId="7EA868B3">
            <w:pPr>
              <w:jc w:val="left"/>
              <w:rPr>
                <w:rFonts w:hint="eastAsia" w:ascii="宋体" w:hAnsi="宋体" w:eastAsia="宋体" w:cs="宋体"/>
                <w:szCs w:val="21"/>
              </w:rPr>
            </w:pPr>
            <w:r>
              <w:rPr>
                <w:rFonts w:hint="eastAsia" w:ascii="宋体" w:hAnsi="宋体" w:eastAsia="宋体" w:cs="宋体"/>
                <w:szCs w:val="21"/>
              </w:rPr>
              <w:t>投标截止时间</w:t>
            </w:r>
          </w:p>
        </w:tc>
        <w:tc>
          <w:tcPr>
            <w:tcW w:w="6100" w:type="dxa"/>
            <w:tcBorders>
              <w:tl2br w:val="nil"/>
              <w:tr2bl w:val="nil"/>
            </w:tcBorders>
            <w:vAlign w:val="center"/>
          </w:tcPr>
          <w:p w14:paraId="1DC59D68">
            <w:pPr>
              <w:spacing w:line="360" w:lineRule="auto"/>
              <w:rPr>
                <w:rFonts w:hint="eastAsia" w:ascii="宋体" w:hAnsi="宋体" w:eastAsia="宋体" w:cs="宋体"/>
                <w:szCs w:val="21"/>
              </w:rPr>
            </w:pPr>
            <w:r>
              <w:rPr>
                <w:rFonts w:hint="eastAsia" w:ascii="宋体" w:hAnsi="宋体" w:eastAsia="宋体" w:cs="宋体"/>
                <w:szCs w:val="21"/>
              </w:rPr>
              <w:t>详见本项目招标文件第一章“投标邀请”</w:t>
            </w:r>
          </w:p>
        </w:tc>
      </w:tr>
      <w:tr w14:paraId="619571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931" w:type="dxa"/>
            <w:gridSpan w:val="3"/>
            <w:tcBorders>
              <w:tl2br w:val="nil"/>
              <w:tr2bl w:val="nil"/>
            </w:tcBorders>
            <w:vAlign w:val="center"/>
          </w:tcPr>
          <w:p w14:paraId="0F94FC08">
            <w:pPr>
              <w:rPr>
                <w:rFonts w:hint="eastAsia" w:ascii="宋体" w:hAnsi="宋体" w:eastAsia="宋体" w:cs="宋体"/>
                <w:szCs w:val="21"/>
              </w:rPr>
            </w:pPr>
            <w:r>
              <w:rPr>
                <w:rFonts w:hint="eastAsia" w:ascii="宋体" w:hAnsi="宋体" w:eastAsia="宋体" w:cs="宋体"/>
                <w:b/>
                <w:bCs/>
                <w:szCs w:val="21"/>
              </w:rPr>
              <w:t>五、开标、资格审查和评标</w:t>
            </w:r>
          </w:p>
        </w:tc>
      </w:tr>
      <w:tr w14:paraId="5753B5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3D352C91">
            <w:pPr>
              <w:jc w:val="center"/>
              <w:rPr>
                <w:rFonts w:hint="eastAsia" w:ascii="宋体" w:hAnsi="宋体" w:eastAsia="宋体" w:cs="宋体"/>
                <w:szCs w:val="21"/>
              </w:rPr>
            </w:pPr>
            <w:r>
              <w:rPr>
                <w:rFonts w:hint="eastAsia" w:ascii="宋体" w:hAnsi="宋体" w:eastAsia="宋体" w:cs="宋体"/>
                <w:szCs w:val="21"/>
              </w:rPr>
              <w:t>第24.1</w:t>
            </w:r>
            <w:r>
              <w:rPr>
                <w:rFonts w:hint="eastAsia" w:ascii="宋体" w:hAnsi="宋体" w:eastAsia="宋体" w:cs="宋体"/>
                <w:szCs w:val="21"/>
                <w:lang w:val="zh-CN"/>
              </w:rPr>
              <w:t>款</w:t>
            </w:r>
          </w:p>
        </w:tc>
        <w:tc>
          <w:tcPr>
            <w:tcW w:w="1620" w:type="dxa"/>
            <w:tcBorders>
              <w:tl2br w:val="nil"/>
              <w:tr2bl w:val="nil"/>
            </w:tcBorders>
            <w:vAlign w:val="center"/>
          </w:tcPr>
          <w:p w14:paraId="3BFB92EA">
            <w:pPr>
              <w:jc w:val="left"/>
              <w:rPr>
                <w:rFonts w:hint="eastAsia" w:ascii="宋体" w:hAnsi="宋体" w:eastAsia="宋体" w:cs="宋体"/>
                <w:szCs w:val="21"/>
              </w:rPr>
            </w:pPr>
            <w:r>
              <w:rPr>
                <w:rFonts w:hint="eastAsia" w:ascii="宋体" w:hAnsi="宋体" w:eastAsia="宋体" w:cs="宋体"/>
                <w:szCs w:val="21"/>
              </w:rPr>
              <w:t xml:space="preserve">开标地点 </w:t>
            </w:r>
          </w:p>
        </w:tc>
        <w:tc>
          <w:tcPr>
            <w:tcW w:w="6100" w:type="dxa"/>
            <w:tcBorders>
              <w:tl2br w:val="nil"/>
              <w:tr2bl w:val="nil"/>
            </w:tcBorders>
            <w:vAlign w:val="center"/>
          </w:tcPr>
          <w:p w14:paraId="3D3FE57D">
            <w:pPr>
              <w:spacing w:line="360" w:lineRule="auto"/>
              <w:rPr>
                <w:rFonts w:hint="eastAsia" w:ascii="宋体" w:hAnsi="宋体" w:eastAsia="宋体" w:cs="宋体"/>
                <w:szCs w:val="21"/>
              </w:rPr>
            </w:pPr>
            <w:r>
              <w:rPr>
                <w:rFonts w:hint="eastAsia" w:ascii="宋体" w:hAnsi="宋体" w:eastAsia="宋体" w:cs="宋体"/>
                <w:szCs w:val="21"/>
              </w:rPr>
              <w:t>详见本项目招标文件第一章“投标邀请”</w:t>
            </w:r>
          </w:p>
        </w:tc>
      </w:tr>
      <w:tr w14:paraId="13FB6A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415434AB">
            <w:pPr>
              <w:jc w:val="center"/>
              <w:rPr>
                <w:rFonts w:hint="eastAsia" w:ascii="宋体" w:hAnsi="宋体" w:eastAsia="宋体" w:cs="宋体"/>
                <w:szCs w:val="21"/>
              </w:rPr>
            </w:pPr>
            <w:r>
              <w:rPr>
                <w:rFonts w:hint="eastAsia" w:ascii="宋体" w:hAnsi="宋体" w:eastAsia="宋体" w:cs="宋体"/>
                <w:szCs w:val="21"/>
              </w:rPr>
              <w:t>第24.4</w:t>
            </w:r>
            <w:r>
              <w:rPr>
                <w:rFonts w:hint="eastAsia" w:ascii="宋体" w:hAnsi="宋体" w:eastAsia="宋体" w:cs="宋体"/>
                <w:szCs w:val="21"/>
                <w:lang w:val="zh-CN"/>
              </w:rPr>
              <w:t>款</w:t>
            </w:r>
          </w:p>
        </w:tc>
        <w:tc>
          <w:tcPr>
            <w:tcW w:w="1620" w:type="dxa"/>
            <w:tcBorders>
              <w:tl2br w:val="nil"/>
              <w:tr2bl w:val="nil"/>
            </w:tcBorders>
            <w:vAlign w:val="center"/>
          </w:tcPr>
          <w:p w14:paraId="56755245">
            <w:pPr>
              <w:jc w:val="left"/>
              <w:rPr>
                <w:rFonts w:hint="eastAsia" w:ascii="宋体" w:hAnsi="宋体" w:eastAsia="宋体" w:cs="宋体"/>
                <w:szCs w:val="21"/>
              </w:rPr>
            </w:pPr>
            <w:r>
              <w:rPr>
                <w:rFonts w:hint="eastAsia" w:ascii="宋体" w:hAnsi="宋体" w:eastAsia="宋体" w:cs="宋体"/>
                <w:szCs w:val="21"/>
              </w:rPr>
              <w:t>需要宣布的其他内容</w:t>
            </w:r>
          </w:p>
        </w:tc>
        <w:tc>
          <w:tcPr>
            <w:tcW w:w="6100" w:type="dxa"/>
            <w:tcBorders>
              <w:tl2br w:val="nil"/>
              <w:tr2bl w:val="nil"/>
            </w:tcBorders>
            <w:vAlign w:val="center"/>
          </w:tcPr>
          <w:p w14:paraId="6DE20C36">
            <w:pPr>
              <w:spacing w:line="360" w:lineRule="auto"/>
              <w:rPr>
                <w:rFonts w:hint="eastAsia" w:ascii="宋体" w:hAnsi="宋体" w:eastAsia="宋体" w:cs="宋体"/>
                <w:szCs w:val="21"/>
              </w:rPr>
            </w:pPr>
            <w:r>
              <w:rPr>
                <w:rFonts w:hint="eastAsia" w:ascii="宋体" w:hAnsi="宋体" w:eastAsia="宋体" w:cs="宋体"/>
                <w:szCs w:val="21"/>
              </w:rPr>
              <w:t>无</w:t>
            </w:r>
          </w:p>
        </w:tc>
      </w:tr>
      <w:tr w14:paraId="2EB3A0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931" w:type="dxa"/>
            <w:gridSpan w:val="3"/>
            <w:tcBorders>
              <w:tl2br w:val="nil"/>
              <w:tr2bl w:val="nil"/>
            </w:tcBorders>
            <w:vAlign w:val="center"/>
          </w:tcPr>
          <w:p w14:paraId="2F2161D9">
            <w:pPr>
              <w:rPr>
                <w:rFonts w:hint="eastAsia" w:ascii="宋体" w:hAnsi="宋体" w:eastAsia="宋体" w:cs="宋体"/>
                <w:szCs w:val="21"/>
              </w:rPr>
            </w:pPr>
            <w:r>
              <w:rPr>
                <w:rFonts w:hint="eastAsia" w:ascii="宋体" w:hAnsi="宋体" w:eastAsia="宋体" w:cs="宋体"/>
                <w:b/>
                <w:bCs/>
                <w:szCs w:val="21"/>
              </w:rPr>
              <w:t>六、中标信息公布</w:t>
            </w:r>
          </w:p>
        </w:tc>
      </w:tr>
      <w:tr w14:paraId="3972A6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3C2E3E3C">
            <w:pPr>
              <w:jc w:val="center"/>
              <w:rPr>
                <w:rFonts w:hint="eastAsia" w:ascii="宋体" w:hAnsi="宋体" w:eastAsia="宋体" w:cs="宋体"/>
                <w:szCs w:val="21"/>
              </w:rPr>
            </w:pPr>
            <w:r>
              <w:rPr>
                <w:rFonts w:hint="eastAsia" w:ascii="宋体" w:hAnsi="宋体" w:eastAsia="宋体" w:cs="宋体"/>
                <w:szCs w:val="21"/>
              </w:rPr>
              <w:t>第28.2</w:t>
            </w:r>
            <w:r>
              <w:rPr>
                <w:rFonts w:hint="eastAsia" w:ascii="宋体" w:hAnsi="宋体" w:eastAsia="宋体" w:cs="宋体"/>
                <w:szCs w:val="21"/>
                <w:lang w:val="zh-CN"/>
              </w:rPr>
              <w:t>款</w:t>
            </w:r>
          </w:p>
        </w:tc>
        <w:tc>
          <w:tcPr>
            <w:tcW w:w="1620" w:type="dxa"/>
            <w:tcBorders>
              <w:tl2br w:val="nil"/>
              <w:tr2bl w:val="nil"/>
            </w:tcBorders>
            <w:vAlign w:val="center"/>
          </w:tcPr>
          <w:p w14:paraId="55164D60">
            <w:pPr>
              <w:jc w:val="left"/>
              <w:rPr>
                <w:rFonts w:hint="eastAsia" w:ascii="宋体" w:hAnsi="宋体" w:eastAsia="宋体" w:cs="宋体"/>
                <w:szCs w:val="21"/>
              </w:rPr>
            </w:pPr>
            <w:r>
              <w:rPr>
                <w:rFonts w:hint="eastAsia" w:ascii="宋体" w:hAnsi="宋体" w:eastAsia="宋体" w:cs="宋体"/>
                <w:szCs w:val="21"/>
              </w:rPr>
              <w:t>中标候选人并列的确定中标人的方式</w:t>
            </w:r>
          </w:p>
        </w:tc>
        <w:tc>
          <w:tcPr>
            <w:tcW w:w="6100" w:type="dxa"/>
            <w:tcBorders>
              <w:tl2br w:val="nil"/>
              <w:tr2bl w:val="nil"/>
            </w:tcBorders>
            <w:vAlign w:val="center"/>
          </w:tcPr>
          <w:p w14:paraId="53A343F3">
            <w:pPr>
              <w:spacing w:line="360" w:lineRule="auto"/>
              <w:rPr>
                <w:rFonts w:hint="eastAsia" w:ascii="宋体" w:hAnsi="宋体" w:eastAsia="宋体" w:cs="宋体"/>
                <w:szCs w:val="21"/>
              </w:rPr>
            </w:pPr>
            <w:r>
              <w:rPr>
                <w:rFonts w:hint="eastAsia" w:ascii="宋体" w:hAnsi="宋体" w:eastAsia="宋体" w:cs="宋体"/>
                <w:szCs w:val="21"/>
              </w:rPr>
              <w:t>按投标报价从低到高确定排序，投标报价相同的按技术总分从高至低确定排序，技术总分相同的由评标组长现场随机抽签确定排序。</w:t>
            </w:r>
          </w:p>
        </w:tc>
      </w:tr>
      <w:tr w14:paraId="28304D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7E6D6BC8">
            <w:pPr>
              <w:jc w:val="center"/>
              <w:rPr>
                <w:rFonts w:hint="eastAsia" w:ascii="宋体" w:hAnsi="宋体" w:eastAsia="宋体" w:cs="宋体"/>
                <w:szCs w:val="21"/>
              </w:rPr>
            </w:pPr>
            <w:r>
              <w:rPr>
                <w:rFonts w:hint="eastAsia" w:ascii="宋体" w:hAnsi="宋体" w:eastAsia="宋体" w:cs="宋体"/>
                <w:szCs w:val="21"/>
              </w:rPr>
              <w:t>第29.3</w:t>
            </w:r>
            <w:r>
              <w:rPr>
                <w:rFonts w:hint="eastAsia" w:ascii="宋体" w:hAnsi="宋体" w:eastAsia="宋体" w:cs="宋体"/>
                <w:szCs w:val="21"/>
                <w:lang w:val="zh-CN"/>
              </w:rPr>
              <w:t>款</w:t>
            </w:r>
          </w:p>
        </w:tc>
        <w:tc>
          <w:tcPr>
            <w:tcW w:w="1620" w:type="dxa"/>
            <w:tcBorders>
              <w:tl2br w:val="nil"/>
              <w:tr2bl w:val="nil"/>
            </w:tcBorders>
            <w:vAlign w:val="center"/>
          </w:tcPr>
          <w:p w14:paraId="46CCC6B3">
            <w:pPr>
              <w:jc w:val="left"/>
              <w:rPr>
                <w:rFonts w:hint="eastAsia" w:ascii="宋体" w:hAnsi="宋体" w:eastAsia="宋体" w:cs="宋体"/>
                <w:szCs w:val="21"/>
              </w:rPr>
            </w:pPr>
            <w:r>
              <w:rPr>
                <w:rFonts w:hint="eastAsia" w:ascii="宋体" w:hAnsi="宋体" w:eastAsia="宋体" w:cs="宋体"/>
                <w:szCs w:val="21"/>
              </w:rPr>
              <w:t>接收质疑函的联系部门、联系电话和通讯地址</w:t>
            </w:r>
          </w:p>
        </w:tc>
        <w:tc>
          <w:tcPr>
            <w:tcW w:w="6100" w:type="dxa"/>
            <w:tcBorders>
              <w:tl2br w:val="nil"/>
              <w:tr2bl w:val="nil"/>
            </w:tcBorders>
            <w:vAlign w:val="center"/>
          </w:tcPr>
          <w:p w14:paraId="38EFA25C">
            <w:pPr>
              <w:spacing w:line="360" w:lineRule="auto"/>
              <w:rPr>
                <w:rFonts w:hint="eastAsia" w:ascii="宋体" w:hAnsi="宋体" w:eastAsia="宋体" w:cs="宋体"/>
                <w:szCs w:val="21"/>
              </w:rPr>
            </w:pPr>
            <w:r>
              <w:rPr>
                <w:rFonts w:hint="eastAsia" w:ascii="宋体" w:hAnsi="宋体" w:eastAsia="宋体" w:cs="宋体"/>
                <w:szCs w:val="21"/>
              </w:rPr>
              <w:t>1、采购人：湖南化工职业技术学院</w:t>
            </w:r>
          </w:p>
          <w:p w14:paraId="5C347B63">
            <w:pPr>
              <w:spacing w:line="360" w:lineRule="auto"/>
              <w:rPr>
                <w:rFonts w:hint="eastAsia" w:ascii="宋体" w:hAnsi="宋体" w:eastAsia="宋体" w:cs="宋体"/>
                <w:szCs w:val="21"/>
              </w:rPr>
            </w:pPr>
            <w:r>
              <w:rPr>
                <w:rFonts w:hint="eastAsia" w:ascii="宋体" w:hAnsi="宋体" w:eastAsia="宋体" w:cs="宋体"/>
                <w:szCs w:val="21"/>
              </w:rPr>
              <w:t xml:space="preserve">地址：株洲市云龙职教城智慧大道1号  </w:t>
            </w:r>
          </w:p>
          <w:p w14:paraId="646E683E">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w:t>
            </w:r>
            <w:r>
              <w:rPr>
                <w:rFonts w:hint="eastAsia" w:ascii="宋体" w:hAnsi="宋体" w:eastAsia="宋体" w:cs="Times New Roman"/>
                <w:color w:val="auto"/>
                <w:szCs w:val="21"/>
                <w:highlight w:val="none"/>
              </w:rPr>
              <w:t>甘老师</w:t>
            </w:r>
          </w:p>
          <w:p w14:paraId="7AA20636">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电话：0731-22537501 </w:t>
            </w:r>
          </w:p>
          <w:p w14:paraId="34D530D7">
            <w:pPr>
              <w:spacing w:line="360" w:lineRule="auto"/>
              <w:rPr>
                <w:rFonts w:hint="eastAsia" w:ascii="宋体" w:hAnsi="宋体" w:eastAsia="宋体" w:cs="宋体"/>
                <w:szCs w:val="21"/>
              </w:rPr>
            </w:pPr>
            <w:r>
              <w:rPr>
                <w:rFonts w:hint="eastAsia" w:ascii="宋体" w:hAnsi="宋体" w:eastAsia="宋体" w:cs="宋体"/>
                <w:szCs w:val="21"/>
              </w:rPr>
              <w:t>2、采购代理机构：湖南恒泽项目管理有限公司</w:t>
            </w:r>
          </w:p>
          <w:p w14:paraId="71BF7F3F">
            <w:pPr>
              <w:spacing w:line="360" w:lineRule="auto"/>
              <w:rPr>
                <w:rFonts w:hint="eastAsia" w:ascii="宋体" w:hAnsi="宋体" w:eastAsia="宋体" w:cs="宋体"/>
                <w:szCs w:val="21"/>
              </w:rPr>
            </w:pPr>
            <w:r>
              <w:rPr>
                <w:rFonts w:hint="eastAsia" w:ascii="宋体" w:hAnsi="宋体" w:eastAsia="宋体" w:cs="宋体"/>
                <w:szCs w:val="21"/>
              </w:rPr>
              <w:t>地址：长沙市天心区雀园路568号创谷产业园A1栋1220-1225房</w:t>
            </w:r>
          </w:p>
          <w:p w14:paraId="5A81773E">
            <w:pPr>
              <w:spacing w:line="360" w:lineRule="auto"/>
              <w:rPr>
                <w:rFonts w:hint="eastAsia" w:ascii="宋体" w:hAnsi="宋体" w:eastAsia="宋体" w:cs="宋体"/>
                <w:szCs w:val="21"/>
              </w:rPr>
            </w:pPr>
            <w:r>
              <w:rPr>
                <w:rFonts w:hint="eastAsia" w:ascii="宋体" w:hAnsi="宋体" w:eastAsia="宋体" w:cs="宋体"/>
                <w:szCs w:val="21"/>
              </w:rPr>
              <w:t>联系人：</w:t>
            </w:r>
            <w:r>
              <w:rPr>
                <w:rFonts w:hint="eastAsia" w:ascii="宋体" w:hAnsi="宋体" w:eastAsia="宋体" w:cs="Times New Roman"/>
                <w:szCs w:val="21"/>
              </w:rPr>
              <w:t xml:space="preserve">张冠军、张志鹏、胡艳、舒超凡、伍迎斌 </w:t>
            </w:r>
          </w:p>
          <w:p w14:paraId="33C859F8">
            <w:pPr>
              <w:spacing w:line="360" w:lineRule="auto"/>
              <w:rPr>
                <w:rFonts w:hint="eastAsia" w:ascii="宋体" w:hAnsi="宋体" w:eastAsia="宋体" w:cs="宋体"/>
                <w:szCs w:val="21"/>
              </w:rPr>
            </w:pPr>
            <w:r>
              <w:rPr>
                <w:rFonts w:hint="eastAsia" w:ascii="宋体" w:hAnsi="宋体" w:eastAsia="宋体" w:cs="宋体"/>
                <w:szCs w:val="21"/>
              </w:rPr>
              <w:t>联系电话：0731-82288998</w:t>
            </w:r>
          </w:p>
        </w:tc>
      </w:tr>
      <w:tr w14:paraId="6BC831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931" w:type="dxa"/>
            <w:gridSpan w:val="3"/>
            <w:tcBorders>
              <w:tl2br w:val="nil"/>
              <w:tr2bl w:val="nil"/>
            </w:tcBorders>
            <w:vAlign w:val="center"/>
          </w:tcPr>
          <w:p w14:paraId="60244DC4">
            <w:pPr>
              <w:rPr>
                <w:rFonts w:hint="eastAsia" w:ascii="宋体" w:hAnsi="宋体" w:eastAsia="宋体" w:cs="宋体"/>
                <w:szCs w:val="21"/>
              </w:rPr>
            </w:pPr>
            <w:r>
              <w:rPr>
                <w:rFonts w:hint="eastAsia" w:ascii="宋体" w:hAnsi="宋体" w:eastAsia="宋体" w:cs="宋体"/>
                <w:b/>
                <w:bCs/>
                <w:szCs w:val="21"/>
              </w:rPr>
              <w:t>七、合同签订</w:t>
            </w:r>
          </w:p>
        </w:tc>
      </w:tr>
      <w:tr w14:paraId="28DF53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7A2C020D">
            <w:pPr>
              <w:jc w:val="center"/>
              <w:rPr>
                <w:rFonts w:hint="eastAsia" w:ascii="宋体" w:hAnsi="宋体" w:eastAsia="宋体" w:cs="宋体"/>
                <w:szCs w:val="21"/>
              </w:rPr>
            </w:pPr>
            <w:r>
              <w:rPr>
                <w:rFonts w:hint="eastAsia" w:ascii="宋体" w:hAnsi="宋体" w:eastAsia="宋体" w:cs="宋体"/>
                <w:szCs w:val="21"/>
              </w:rPr>
              <w:t>第31.1</w:t>
            </w:r>
            <w:r>
              <w:rPr>
                <w:rFonts w:hint="eastAsia" w:ascii="宋体" w:hAnsi="宋体" w:eastAsia="宋体" w:cs="宋体"/>
                <w:szCs w:val="21"/>
                <w:lang w:val="zh-CN"/>
              </w:rPr>
              <w:t>款</w:t>
            </w:r>
          </w:p>
        </w:tc>
        <w:tc>
          <w:tcPr>
            <w:tcW w:w="1620" w:type="dxa"/>
            <w:tcBorders>
              <w:tl2br w:val="nil"/>
              <w:tr2bl w:val="nil"/>
            </w:tcBorders>
            <w:vAlign w:val="center"/>
          </w:tcPr>
          <w:p w14:paraId="0557B8EB">
            <w:pPr>
              <w:jc w:val="left"/>
              <w:rPr>
                <w:rFonts w:hint="eastAsia" w:ascii="宋体" w:hAnsi="宋体" w:eastAsia="宋体" w:cs="宋体"/>
                <w:szCs w:val="21"/>
              </w:rPr>
            </w:pPr>
            <w:r>
              <w:rPr>
                <w:rFonts w:hint="eastAsia" w:ascii="宋体" w:hAnsi="宋体" w:eastAsia="宋体" w:cs="宋体"/>
                <w:szCs w:val="21"/>
              </w:rPr>
              <w:t>履约担保</w:t>
            </w:r>
          </w:p>
        </w:tc>
        <w:tc>
          <w:tcPr>
            <w:tcW w:w="6100" w:type="dxa"/>
            <w:tcBorders>
              <w:tl2br w:val="nil"/>
              <w:tr2bl w:val="nil"/>
            </w:tcBorders>
            <w:vAlign w:val="center"/>
          </w:tcPr>
          <w:p w14:paraId="115DBD28">
            <w:pPr>
              <w:spacing w:line="360" w:lineRule="auto"/>
              <w:rPr>
                <w:rFonts w:hint="eastAsia" w:ascii="宋体" w:hAnsi="宋体" w:eastAsia="宋体" w:cs="宋体"/>
                <w:szCs w:val="21"/>
              </w:rPr>
            </w:pPr>
            <w:r>
              <w:rPr>
                <w:rFonts w:hint="eastAsia" w:ascii="宋体" w:hAnsi="宋体" w:eastAsia="宋体" w:cs="宋体"/>
                <w:szCs w:val="21"/>
              </w:rPr>
              <w:t>■ 不要求提供</w:t>
            </w:r>
          </w:p>
          <w:p w14:paraId="542E5A55">
            <w:pPr>
              <w:spacing w:line="360" w:lineRule="auto"/>
              <w:rPr>
                <w:rFonts w:hint="eastAsia" w:ascii="宋体" w:hAnsi="宋体" w:eastAsia="宋体" w:cs="宋体"/>
                <w:szCs w:val="21"/>
              </w:rPr>
            </w:pPr>
            <w:r>
              <w:rPr>
                <w:rFonts w:hint="eastAsia" w:ascii="宋体" w:hAnsi="宋体" w:eastAsia="宋体" w:cs="宋体"/>
                <w:szCs w:val="21"/>
              </w:rPr>
              <w:t>□ 要求提供：</w:t>
            </w:r>
          </w:p>
          <w:p w14:paraId="114C4E91">
            <w:pPr>
              <w:spacing w:line="360" w:lineRule="auto"/>
              <w:rPr>
                <w:rFonts w:hint="eastAsia" w:ascii="宋体" w:hAnsi="宋体" w:eastAsia="宋体" w:cs="宋体"/>
                <w:szCs w:val="21"/>
              </w:rPr>
            </w:pPr>
            <w:r>
              <w:rPr>
                <w:rFonts w:hint="eastAsia" w:ascii="宋体" w:hAnsi="宋体" w:eastAsia="宋体" w:cs="宋体"/>
                <w:szCs w:val="21"/>
              </w:rPr>
              <w:t>履约担保的形式：应当以支票、汇票、本票或者金融机构出具的保函等非现金的形式提交。</w:t>
            </w:r>
          </w:p>
          <w:p w14:paraId="376EC26E">
            <w:pPr>
              <w:spacing w:line="360" w:lineRule="auto"/>
              <w:rPr>
                <w:rFonts w:hint="eastAsia" w:ascii="宋体" w:hAnsi="宋体" w:eastAsia="宋体" w:cs="宋体"/>
                <w:szCs w:val="21"/>
              </w:rPr>
            </w:pPr>
            <w:r>
              <w:rPr>
                <w:rFonts w:hint="eastAsia" w:ascii="宋体" w:hAnsi="宋体" w:eastAsia="宋体" w:cs="宋体"/>
                <w:szCs w:val="21"/>
              </w:rPr>
              <w:t>履约担保的金额：政府采购合同金额的10%。</w:t>
            </w:r>
          </w:p>
          <w:p w14:paraId="2F25C0D1">
            <w:pPr>
              <w:spacing w:line="360" w:lineRule="auto"/>
              <w:rPr>
                <w:rFonts w:hint="eastAsia" w:ascii="宋体" w:hAnsi="宋体" w:eastAsia="宋体" w:cs="宋体"/>
                <w:szCs w:val="21"/>
              </w:rPr>
            </w:pPr>
            <w:r>
              <w:rPr>
                <w:rFonts w:hint="eastAsia" w:ascii="宋体" w:hAnsi="宋体" w:eastAsia="宋体" w:cs="宋体"/>
                <w:szCs w:val="21"/>
              </w:rPr>
              <w:t>履约担保提交时间：中标通知书发出之日起10日内。</w:t>
            </w:r>
          </w:p>
          <w:p w14:paraId="5662D702">
            <w:pPr>
              <w:spacing w:line="360" w:lineRule="auto"/>
              <w:rPr>
                <w:rFonts w:hint="eastAsia" w:ascii="宋体" w:hAnsi="宋体" w:eastAsia="宋体" w:cs="宋体"/>
                <w:szCs w:val="21"/>
              </w:rPr>
            </w:pPr>
            <w:r>
              <w:rPr>
                <w:rFonts w:hint="eastAsia" w:ascii="宋体" w:hAnsi="宋体" w:eastAsia="宋体" w:cs="宋体"/>
                <w:szCs w:val="21"/>
              </w:rPr>
              <w:t>履约担保退还时间：验收合格后1个月内。</w:t>
            </w:r>
          </w:p>
        </w:tc>
      </w:tr>
      <w:tr w14:paraId="3F462E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931" w:type="dxa"/>
            <w:gridSpan w:val="3"/>
            <w:tcBorders>
              <w:tl2br w:val="nil"/>
              <w:tr2bl w:val="nil"/>
            </w:tcBorders>
            <w:vAlign w:val="center"/>
          </w:tcPr>
          <w:p w14:paraId="1A9ACA0E">
            <w:pPr>
              <w:spacing w:line="360" w:lineRule="auto"/>
              <w:rPr>
                <w:rFonts w:hint="eastAsia" w:ascii="宋体" w:hAnsi="宋体" w:eastAsia="宋体" w:cs="宋体"/>
                <w:szCs w:val="21"/>
              </w:rPr>
            </w:pPr>
            <w:r>
              <w:rPr>
                <w:rFonts w:hint="eastAsia" w:ascii="宋体" w:hAnsi="宋体" w:eastAsia="宋体" w:cs="宋体"/>
                <w:b/>
                <w:bCs/>
                <w:szCs w:val="21"/>
              </w:rPr>
              <w:t>八、政府采购政策</w:t>
            </w:r>
          </w:p>
        </w:tc>
      </w:tr>
      <w:tr w14:paraId="13403D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02699C81">
            <w:pPr>
              <w:adjustRightInd w:val="0"/>
              <w:snapToGrid w:val="0"/>
              <w:spacing w:line="320" w:lineRule="exact"/>
              <w:jc w:val="center"/>
              <w:rPr>
                <w:rFonts w:hint="eastAsia" w:ascii="宋体" w:hAnsi="宋体" w:eastAsia="宋体" w:cs="宋体"/>
                <w:szCs w:val="21"/>
              </w:rPr>
            </w:pPr>
            <w:r>
              <w:rPr>
                <w:rFonts w:hint="eastAsia" w:ascii="宋体" w:hAnsi="宋体" w:eastAsia="宋体" w:cs="宋体"/>
                <w:szCs w:val="21"/>
              </w:rPr>
              <w:t>第33.8</w:t>
            </w:r>
            <w:r>
              <w:rPr>
                <w:rFonts w:hint="eastAsia" w:ascii="宋体" w:hAnsi="宋体" w:eastAsia="宋体" w:cs="宋体"/>
                <w:szCs w:val="21"/>
                <w:lang w:val="zh-CN"/>
              </w:rPr>
              <w:t>款</w:t>
            </w:r>
          </w:p>
        </w:tc>
        <w:tc>
          <w:tcPr>
            <w:tcW w:w="1620" w:type="dxa"/>
            <w:tcBorders>
              <w:tl2br w:val="nil"/>
              <w:tr2bl w:val="nil"/>
            </w:tcBorders>
            <w:vAlign w:val="center"/>
          </w:tcPr>
          <w:p w14:paraId="28A5C460">
            <w:pPr>
              <w:jc w:val="left"/>
              <w:rPr>
                <w:rFonts w:hint="eastAsia" w:ascii="宋体" w:hAnsi="宋体" w:eastAsia="宋体" w:cs="宋体"/>
                <w:szCs w:val="21"/>
              </w:rPr>
            </w:pPr>
            <w:r>
              <w:rPr>
                <w:rFonts w:hint="eastAsia" w:ascii="宋体" w:hAnsi="宋体" w:eastAsia="宋体" w:cs="宋体"/>
                <w:szCs w:val="21"/>
              </w:rPr>
              <w:t>采购进口产品</w:t>
            </w:r>
          </w:p>
        </w:tc>
        <w:tc>
          <w:tcPr>
            <w:tcW w:w="6100" w:type="dxa"/>
            <w:tcBorders>
              <w:tl2br w:val="nil"/>
              <w:tr2bl w:val="nil"/>
            </w:tcBorders>
            <w:vAlign w:val="center"/>
          </w:tcPr>
          <w:p w14:paraId="7A6B639A">
            <w:pPr>
              <w:spacing w:line="360" w:lineRule="auto"/>
              <w:rPr>
                <w:rFonts w:hint="eastAsia" w:ascii="宋体" w:hAnsi="宋体" w:eastAsia="宋体" w:cs="宋体"/>
                <w:szCs w:val="21"/>
              </w:rPr>
            </w:pPr>
            <w:r>
              <w:rPr>
                <w:rFonts w:hint="eastAsia" w:ascii="宋体" w:hAnsi="宋体" w:eastAsia="宋体" w:cs="宋体"/>
                <w:szCs w:val="21"/>
              </w:rPr>
              <w:t>■本采购项目拒绝进口产品参加投标。</w:t>
            </w:r>
          </w:p>
          <w:p w14:paraId="04D8FBCB">
            <w:pPr>
              <w:spacing w:line="360" w:lineRule="auto"/>
              <w:rPr>
                <w:rFonts w:hint="eastAsia" w:ascii="宋体" w:hAnsi="宋体" w:eastAsia="宋体" w:cs="宋体"/>
                <w:szCs w:val="21"/>
              </w:rPr>
            </w:pPr>
            <w:r>
              <w:rPr>
                <w:rFonts w:hint="eastAsia" w:ascii="宋体" w:hAnsi="宋体" w:eastAsia="宋体" w:cs="宋体"/>
                <w:szCs w:val="21"/>
              </w:rPr>
              <w:t>□本采购项目已经财政部门审核同意购买进口产品。</w:t>
            </w:r>
          </w:p>
        </w:tc>
      </w:tr>
      <w:tr w14:paraId="2FE2BD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931" w:type="dxa"/>
            <w:gridSpan w:val="3"/>
            <w:tcBorders>
              <w:tl2br w:val="nil"/>
              <w:tr2bl w:val="nil"/>
            </w:tcBorders>
            <w:vAlign w:val="center"/>
          </w:tcPr>
          <w:p w14:paraId="22764FDE">
            <w:pPr>
              <w:rPr>
                <w:rFonts w:hint="eastAsia" w:ascii="宋体" w:hAnsi="宋体" w:eastAsia="宋体" w:cs="宋体"/>
                <w:szCs w:val="21"/>
              </w:rPr>
            </w:pPr>
            <w:r>
              <w:rPr>
                <w:rFonts w:hint="eastAsia" w:ascii="宋体" w:hAnsi="宋体" w:eastAsia="宋体" w:cs="宋体"/>
                <w:b/>
                <w:bCs/>
                <w:szCs w:val="21"/>
              </w:rPr>
              <w:t>九、其他规定</w:t>
            </w:r>
          </w:p>
        </w:tc>
      </w:tr>
      <w:tr w14:paraId="29E42C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288EDC7C">
            <w:pPr>
              <w:jc w:val="center"/>
              <w:rPr>
                <w:rFonts w:hint="eastAsia" w:ascii="宋体" w:hAnsi="宋体" w:eastAsia="宋体" w:cs="宋体"/>
                <w:szCs w:val="21"/>
              </w:rPr>
            </w:pPr>
            <w:r>
              <w:rPr>
                <w:rFonts w:hint="eastAsia" w:ascii="宋体" w:hAnsi="宋体" w:eastAsia="宋体" w:cs="宋体"/>
                <w:szCs w:val="21"/>
              </w:rPr>
              <w:t>第35.1（1）项</w:t>
            </w:r>
          </w:p>
        </w:tc>
        <w:tc>
          <w:tcPr>
            <w:tcW w:w="1620" w:type="dxa"/>
            <w:tcBorders>
              <w:tl2br w:val="nil"/>
              <w:tr2bl w:val="nil"/>
            </w:tcBorders>
            <w:vAlign w:val="center"/>
          </w:tcPr>
          <w:p w14:paraId="0BAD4A1B">
            <w:pPr>
              <w:jc w:val="left"/>
              <w:rPr>
                <w:rFonts w:hint="eastAsia" w:ascii="宋体" w:hAnsi="宋体" w:eastAsia="宋体" w:cs="宋体"/>
                <w:szCs w:val="21"/>
              </w:rPr>
            </w:pPr>
            <w:r>
              <w:rPr>
                <w:rFonts w:hint="eastAsia" w:ascii="宋体" w:hAnsi="宋体" w:eastAsia="宋体" w:cs="宋体"/>
                <w:szCs w:val="21"/>
              </w:rPr>
              <w:t>合同预付款的支付比例和支付条件</w:t>
            </w:r>
          </w:p>
        </w:tc>
        <w:tc>
          <w:tcPr>
            <w:tcW w:w="6100" w:type="dxa"/>
            <w:tcBorders>
              <w:tl2br w:val="nil"/>
              <w:tr2bl w:val="nil"/>
            </w:tcBorders>
            <w:vAlign w:val="center"/>
          </w:tcPr>
          <w:p w14:paraId="1200A51C">
            <w:pPr>
              <w:spacing w:line="360" w:lineRule="auto"/>
              <w:rPr>
                <w:rFonts w:hint="eastAsia" w:ascii="宋体" w:hAnsi="宋体" w:eastAsia="宋体" w:cs="宋体"/>
                <w:szCs w:val="21"/>
              </w:rPr>
            </w:pPr>
            <w:r>
              <w:rPr>
                <w:rFonts w:hint="eastAsia" w:ascii="宋体" w:hAnsi="宋体" w:eastAsia="宋体" w:cs="宋体"/>
                <w:szCs w:val="21"/>
              </w:rPr>
              <w:t>支付比例：</w:t>
            </w:r>
            <w:r>
              <w:rPr>
                <w:rFonts w:hint="eastAsia" w:ascii="宋体" w:hAnsi="宋体" w:eastAsia="宋体" w:cs="宋体"/>
                <w:szCs w:val="21"/>
                <w:u w:val="single"/>
              </w:rPr>
              <w:t xml:space="preserve">  详见采购需求  </w:t>
            </w:r>
            <w:r>
              <w:rPr>
                <w:rFonts w:hint="eastAsia" w:ascii="宋体" w:hAnsi="宋体" w:eastAsia="宋体" w:cs="宋体"/>
                <w:szCs w:val="21"/>
              </w:rPr>
              <w:t xml:space="preserve"> </w:t>
            </w:r>
          </w:p>
          <w:p w14:paraId="3DCAD899">
            <w:pPr>
              <w:spacing w:line="360" w:lineRule="auto"/>
              <w:rPr>
                <w:rFonts w:hint="eastAsia" w:ascii="宋体" w:hAnsi="宋体" w:eastAsia="宋体" w:cs="宋体"/>
                <w:szCs w:val="21"/>
              </w:rPr>
            </w:pPr>
            <w:r>
              <w:rPr>
                <w:rFonts w:hint="eastAsia" w:ascii="宋体" w:hAnsi="宋体" w:eastAsia="宋体" w:cs="宋体"/>
                <w:szCs w:val="21"/>
              </w:rPr>
              <w:t>支付条件：</w:t>
            </w:r>
            <w:r>
              <w:rPr>
                <w:rFonts w:hint="eastAsia" w:ascii="宋体" w:hAnsi="宋体" w:eastAsia="宋体" w:cs="宋体"/>
                <w:szCs w:val="21"/>
                <w:u w:val="single"/>
              </w:rPr>
              <w:t xml:space="preserve">  详见采购需求  </w:t>
            </w:r>
            <w:r>
              <w:rPr>
                <w:rFonts w:hint="eastAsia" w:ascii="宋体" w:hAnsi="宋体" w:eastAsia="宋体" w:cs="宋体"/>
                <w:szCs w:val="21"/>
              </w:rPr>
              <w:t xml:space="preserve"> </w:t>
            </w:r>
          </w:p>
        </w:tc>
      </w:tr>
      <w:tr w14:paraId="6CFD60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tcBorders>
              <w:tl2br w:val="nil"/>
              <w:tr2bl w:val="nil"/>
            </w:tcBorders>
            <w:vAlign w:val="center"/>
          </w:tcPr>
          <w:p w14:paraId="3190645E">
            <w:pPr>
              <w:jc w:val="center"/>
              <w:rPr>
                <w:rFonts w:hint="eastAsia" w:ascii="宋体" w:hAnsi="宋体" w:eastAsia="宋体" w:cs="宋体"/>
                <w:szCs w:val="21"/>
              </w:rPr>
            </w:pPr>
            <w:r>
              <w:rPr>
                <w:rFonts w:hint="eastAsia" w:ascii="宋体" w:hAnsi="宋体" w:eastAsia="宋体" w:cs="宋体"/>
                <w:szCs w:val="21"/>
              </w:rPr>
              <w:t>第35.1（2）项</w:t>
            </w:r>
          </w:p>
        </w:tc>
        <w:tc>
          <w:tcPr>
            <w:tcW w:w="1620" w:type="dxa"/>
            <w:tcBorders>
              <w:tl2br w:val="nil"/>
              <w:tr2bl w:val="nil"/>
            </w:tcBorders>
            <w:vAlign w:val="center"/>
          </w:tcPr>
          <w:p w14:paraId="0B67421E">
            <w:pPr>
              <w:jc w:val="left"/>
              <w:rPr>
                <w:rFonts w:hint="eastAsia" w:ascii="宋体" w:hAnsi="宋体" w:eastAsia="宋体" w:cs="宋体"/>
                <w:szCs w:val="21"/>
              </w:rPr>
            </w:pPr>
            <w:r>
              <w:rPr>
                <w:rFonts w:hint="eastAsia" w:ascii="宋体" w:hAnsi="宋体" w:eastAsia="宋体" w:cs="宋体"/>
                <w:szCs w:val="21"/>
              </w:rPr>
              <w:t>质量保证金</w:t>
            </w:r>
          </w:p>
        </w:tc>
        <w:tc>
          <w:tcPr>
            <w:tcW w:w="6100" w:type="dxa"/>
            <w:tcBorders>
              <w:tl2br w:val="nil"/>
              <w:tr2bl w:val="nil"/>
            </w:tcBorders>
            <w:vAlign w:val="center"/>
          </w:tcPr>
          <w:p w14:paraId="136035D1">
            <w:pPr>
              <w:spacing w:line="360" w:lineRule="auto"/>
              <w:rPr>
                <w:rFonts w:hint="eastAsia" w:ascii="宋体" w:hAnsi="宋体" w:eastAsia="宋体" w:cs="宋体"/>
                <w:szCs w:val="21"/>
              </w:rPr>
            </w:pPr>
            <w:r>
              <w:rPr>
                <w:rFonts w:hint="eastAsia" w:ascii="宋体" w:hAnsi="宋体" w:eastAsia="宋体" w:cs="宋体"/>
                <w:szCs w:val="21"/>
              </w:rPr>
              <w:t>详见采购需求</w:t>
            </w:r>
          </w:p>
        </w:tc>
      </w:tr>
      <w:tr w14:paraId="26DD64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vMerge w:val="restart"/>
            <w:tcBorders>
              <w:tl2br w:val="nil"/>
              <w:tr2bl w:val="nil"/>
            </w:tcBorders>
            <w:vAlign w:val="center"/>
          </w:tcPr>
          <w:p w14:paraId="4F626279">
            <w:pPr>
              <w:jc w:val="center"/>
              <w:rPr>
                <w:rFonts w:hint="eastAsia" w:ascii="宋体" w:hAnsi="宋体" w:eastAsia="宋体" w:cs="宋体"/>
                <w:szCs w:val="21"/>
              </w:rPr>
            </w:pPr>
            <w:r>
              <w:rPr>
                <w:rFonts w:hint="eastAsia" w:ascii="宋体" w:hAnsi="宋体" w:eastAsia="宋体" w:cs="宋体"/>
                <w:szCs w:val="21"/>
              </w:rPr>
              <w:t>第35.2</w:t>
            </w:r>
            <w:r>
              <w:rPr>
                <w:rFonts w:hint="eastAsia" w:ascii="宋体" w:hAnsi="宋体" w:eastAsia="宋体" w:cs="宋体"/>
                <w:szCs w:val="21"/>
                <w:lang w:val="zh-CN"/>
              </w:rPr>
              <w:t>款</w:t>
            </w:r>
          </w:p>
        </w:tc>
        <w:tc>
          <w:tcPr>
            <w:tcW w:w="1620" w:type="dxa"/>
            <w:vMerge w:val="restart"/>
            <w:tcBorders>
              <w:tl2br w:val="nil"/>
              <w:tr2bl w:val="nil"/>
            </w:tcBorders>
            <w:vAlign w:val="center"/>
          </w:tcPr>
          <w:p w14:paraId="0C68931A">
            <w:pPr>
              <w:jc w:val="left"/>
              <w:rPr>
                <w:rFonts w:hint="eastAsia" w:ascii="宋体" w:hAnsi="宋体" w:eastAsia="宋体" w:cs="宋体"/>
                <w:szCs w:val="21"/>
              </w:rPr>
            </w:pPr>
            <w:r>
              <w:rPr>
                <w:rFonts w:hint="eastAsia" w:ascii="宋体" w:hAnsi="宋体" w:eastAsia="宋体" w:cs="宋体"/>
                <w:szCs w:val="21"/>
              </w:rPr>
              <w:t>其他规定</w:t>
            </w:r>
          </w:p>
        </w:tc>
        <w:tc>
          <w:tcPr>
            <w:tcW w:w="6100" w:type="dxa"/>
            <w:tcBorders>
              <w:tl2br w:val="nil"/>
              <w:tr2bl w:val="nil"/>
            </w:tcBorders>
            <w:vAlign w:val="center"/>
          </w:tcPr>
          <w:p w14:paraId="22E00970">
            <w:pPr>
              <w:spacing w:line="360" w:lineRule="auto"/>
              <w:rPr>
                <w:rFonts w:hint="eastAsia" w:ascii="宋体" w:hAnsi="宋体" w:eastAsia="宋体" w:cs="宋体"/>
                <w:szCs w:val="21"/>
              </w:rPr>
            </w:pPr>
            <w:r>
              <w:rPr>
                <w:rFonts w:hint="eastAsia" w:ascii="宋体" w:hAnsi="宋体" w:eastAsia="宋体" w:cs="宋体"/>
                <w:szCs w:val="21"/>
              </w:rPr>
              <w:t>1、本项目所属行业为“工业”，小微企规模认定按照《中小企业划型标准规定》（工信部联企业</w:t>
            </w:r>
            <w:bookmarkStart w:id="29" w:name="OLE_LINK1"/>
            <w:r>
              <w:rPr>
                <w:rFonts w:hint="eastAsia" w:ascii="宋体" w:hAnsi="宋体" w:eastAsia="宋体" w:cs="宋体"/>
                <w:szCs w:val="21"/>
              </w:rPr>
              <w:t>〔2011〕</w:t>
            </w:r>
            <w:bookmarkEnd w:id="29"/>
            <w:r>
              <w:rPr>
                <w:rFonts w:hint="eastAsia" w:ascii="宋体" w:hAnsi="宋体" w:eastAsia="宋体" w:cs="宋体"/>
                <w:szCs w:val="21"/>
              </w:rPr>
              <w:t>300号）执行。</w:t>
            </w:r>
          </w:p>
          <w:p w14:paraId="07D6E1FC">
            <w:pPr>
              <w:spacing w:line="360" w:lineRule="auto"/>
              <w:rPr>
                <w:rFonts w:hint="eastAsia" w:ascii="宋体" w:hAnsi="宋体" w:eastAsia="宋体" w:cs="宋体"/>
                <w:szCs w:val="21"/>
              </w:rPr>
            </w:pPr>
            <w:r>
              <w:rPr>
                <w:rFonts w:hint="eastAsia" w:ascii="宋体" w:hAnsi="宋体" w:eastAsia="宋体" w:cs="宋体"/>
                <w:szCs w:val="21"/>
              </w:rPr>
              <w:t>2、本项目履约验收方式为：采购人自行组织验收。</w:t>
            </w:r>
          </w:p>
          <w:p w14:paraId="59A84149">
            <w:pPr>
              <w:spacing w:line="360" w:lineRule="auto"/>
              <w:rPr>
                <w:rFonts w:ascii="Times New Roman" w:hAnsi="Times New Roman" w:eastAsia="宋体" w:cs="Times New Roman"/>
              </w:rPr>
            </w:pPr>
            <w:r>
              <w:rPr>
                <w:rFonts w:hint="eastAsia" w:ascii="宋体" w:hAnsi="宋体" w:eastAsia="宋体" w:cs="宋体"/>
                <w:szCs w:val="21"/>
              </w:rPr>
              <w:t>3、</w:t>
            </w:r>
            <w:bookmarkStart w:id="30" w:name="OLE_LINK133"/>
            <w:r>
              <w:rPr>
                <w:rFonts w:hint="eastAsia" w:ascii="宋体" w:hAnsi="宋体" w:eastAsia="宋体" w:cs="宋体"/>
                <w:szCs w:val="21"/>
              </w:rPr>
              <w:t>本项目代</w:t>
            </w:r>
            <w:bookmarkStart w:id="31" w:name="OLE_LINK2"/>
            <w:r>
              <w:rPr>
                <w:rFonts w:hint="eastAsia" w:ascii="宋体" w:hAnsi="宋体" w:eastAsia="宋体" w:cs="宋体"/>
                <w:szCs w:val="21"/>
              </w:rPr>
              <w:t>理费按国家计委颁发的计价格〔2002〕1980号文</w:t>
            </w:r>
            <w:bookmarkStart w:id="32" w:name="OLE_LINK35"/>
            <w:r>
              <w:rPr>
                <w:rFonts w:hint="eastAsia" w:ascii="宋体" w:hAnsi="宋体" w:eastAsia="宋体" w:cs="宋体"/>
                <w:szCs w:val="21"/>
              </w:rPr>
              <w:t>货物类</w:t>
            </w:r>
            <w:bookmarkEnd w:id="32"/>
            <w:r>
              <w:rPr>
                <w:rFonts w:hint="eastAsia" w:ascii="宋体" w:hAnsi="宋体" w:eastAsia="宋体" w:cs="宋体"/>
                <w:szCs w:val="21"/>
              </w:rPr>
              <w:t>收费标准的32%计算</w:t>
            </w:r>
            <w:bookmarkEnd w:id="31"/>
            <w:r>
              <w:rPr>
                <w:rFonts w:hint="eastAsia" w:ascii="宋体" w:hAnsi="宋体" w:eastAsia="宋体" w:cs="宋体"/>
                <w:szCs w:val="21"/>
              </w:rPr>
              <w:t>，由采购人支付。</w:t>
            </w:r>
            <w:bookmarkEnd w:id="30"/>
          </w:p>
        </w:tc>
      </w:tr>
      <w:tr w14:paraId="7BA0DB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211" w:type="dxa"/>
            <w:vMerge w:val="continue"/>
            <w:tcBorders>
              <w:tl2br w:val="nil"/>
              <w:tr2bl w:val="nil"/>
            </w:tcBorders>
            <w:vAlign w:val="center"/>
          </w:tcPr>
          <w:p w14:paraId="16770A3C">
            <w:pPr>
              <w:jc w:val="center"/>
              <w:rPr>
                <w:rFonts w:hint="eastAsia" w:ascii="宋体" w:hAnsi="宋体" w:eastAsia="宋体" w:cs="宋体"/>
                <w:szCs w:val="21"/>
              </w:rPr>
            </w:pPr>
          </w:p>
        </w:tc>
        <w:tc>
          <w:tcPr>
            <w:tcW w:w="1620" w:type="dxa"/>
            <w:vMerge w:val="continue"/>
            <w:tcBorders>
              <w:tl2br w:val="nil"/>
              <w:tr2bl w:val="nil"/>
            </w:tcBorders>
            <w:vAlign w:val="center"/>
          </w:tcPr>
          <w:p w14:paraId="6FD0639B">
            <w:pPr>
              <w:jc w:val="left"/>
              <w:rPr>
                <w:rFonts w:hint="eastAsia" w:ascii="宋体" w:hAnsi="宋体" w:eastAsia="宋体" w:cs="宋体"/>
                <w:szCs w:val="21"/>
              </w:rPr>
            </w:pPr>
          </w:p>
        </w:tc>
        <w:tc>
          <w:tcPr>
            <w:tcW w:w="6100" w:type="dxa"/>
            <w:tcBorders>
              <w:tl2br w:val="nil"/>
              <w:tr2bl w:val="nil"/>
            </w:tcBorders>
            <w:vAlign w:val="center"/>
          </w:tcPr>
          <w:p w14:paraId="288A19E9">
            <w:pPr>
              <w:spacing w:line="360" w:lineRule="auto"/>
              <w:rPr>
                <w:rFonts w:hint="eastAsia" w:ascii="宋体" w:hAnsi="宋体" w:eastAsia="宋体" w:cs="宋体"/>
                <w:b/>
                <w:bCs/>
                <w:szCs w:val="21"/>
              </w:rPr>
            </w:pPr>
            <w:r>
              <w:rPr>
                <w:rFonts w:hint="eastAsia" w:ascii="宋体" w:hAnsi="宋体" w:eastAsia="宋体" w:cs="宋体"/>
                <w:b/>
                <w:bCs/>
                <w:szCs w:val="21"/>
              </w:rPr>
              <w:t>1、政府采购电子标项目报名程序：湖南省公共资源交易服务平台株洲分平台——交易快速通道——政府采购——湖南省公共资源交易服务平台株洲分平台——填写投标信息——选择对应项目报名。也可直接登陆湖南省公共资源交易服务平台株洲分平台（https://zhuzhou.hnsggzy.com/）报名。供应商确定参加投标的,应及时登录系统进行报名操作,否则将无法上传电子投标文件。</w:t>
            </w:r>
          </w:p>
          <w:p w14:paraId="5510C900">
            <w:pPr>
              <w:spacing w:line="360" w:lineRule="auto"/>
              <w:rPr>
                <w:rFonts w:hint="eastAsia" w:ascii="宋体" w:hAnsi="宋体" w:eastAsia="宋体" w:cs="宋体"/>
                <w:b/>
                <w:bCs/>
                <w:szCs w:val="21"/>
              </w:rPr>
            </w:pPr>
            <w:r>
              <w:rPr>
                <w:rFonts w:hint="eastAsia" w:ascii="宋体" w:hAnsi="宋体" w:eastAsia="宋体" w:cs="宋体"/>
                <w:b/>
                <w:bCs/>
                <w:szCs w:val="21"/>
              </w:rPr>
              <w:t>2、请投标人在湖南省公共资源交易服务平台株洲分平台（https：//zhuzhou.hnsggzy.com）——下载中心——政府采购栏目下载“交易系统操作手册”、“不见面开标操作手册”下载操作手册，并按操作手册要求下载相应的软件编制投标文件，投标人应在投标截止时间前通过电子交易系统递交数据电文形式的投标文件。逾期送达的投标文件，电子交易系统予以拒收。</w:t>
            </w:r>
          </w:p>
          <w:p w14:paraId="7FFBD82B">
            <w:pPr>
              <w:spacing w:line="360" w:lineRule="auto"/>
              <w:rPr>
                <w:rFonts w:hint="eastAsia" w:ascii="宋体" w:hAnsi="宋体" w:eastAsia="宋体" w:cs="宋体"/>
                <w:b/>
                <w:bCs/>
                <w:szCs w:val="21"/>
              </w:rPr>
            </w:pPr>
            <w:r>
              <w:rPr>
                <w:rFonts w:hint="eastAsia" w:ascii="宋体" w:hAnsi="宋体" w:eastAsia="宋体" w:cs="宋体"/>
                <w:b/>
                <w:bCs/>
                <w:szCs w:val="21"/>
              </w:rPr>
              <w:t>3、本项目实行“不见面开标”方式，投标人无需到开标现场，请投标人提前配置好解密电脑和软件环境，在规定时间内使用制作投标文件时的 CA 锁登录“湖南省公共资源交易服务平台株洲分平台（https：//zhuzhou.hnsggzy.com）——智慧服务大厅——开标与电子竞价直播”解密投标文件。电子投标文件的解密截止时间为投标截止后</w:t>
            </w:r>
            <w:r>
              <w:rPr>
                <w:rFonts w:hint="eastAsia" w:ascii="宋体" w:hAnsi="宋体" w:eastAsia="宋体" w:cs="宋体"/>
                <w:b/>
                <w:bCs/>
                <w:szCs w:val="21"/>
                <w:lang w:val="en-US" w:eastAsia="zh-CN"/>
              </w:rPr>
              <w:t>30</w:t>
            </w:r>
            <w:r>
              <w:rPr>
                <w:rFonts w:hint="eastAsia" w:ascii="宋体" w:hAnsi="宋体" w:eastAsia="宋体" w:cs="宋体"/>
                <w:b/>
                <w:bCs/>
                <w:szCs w:val="21"/>
              </w:rPr>
              <w:t>分钟，因投标人自身原因未在规定时间内完成解密或无法解密的投标文件视为撤销其投标文件，相应责任由投标人自行承担。</w:t>
            </w:r>
          </w:p>
        </w:tc>
      </w:tr>
    </w:tbl>
    <w:p w14:paraId="65096E7D">
      <w:pPr>
        <w:adjustRightInd w:val="0"/>
        <w:snapToGrid w:val="0"/>
        <w:spacing w:line="360" w:lineRule="auto"/>
        <w:rPr>
          <w:rFonts w:hint="eastAsia" w:ascii="宋体" w:hAnsi="宋体" w:eastAsia="宋体" w:cs="宋体"/>
          <w:b/>
          <w:szCs w:val="21"/>
        </w:rPr>
      </w:pPr>
      <w:r>
        <w:rPr>
          <w:rFonts w:hint="eastAsia" w:ascii="宋体" w:hAnsi="宋体" w:eastAsia="宋体" w:cs="宋体"/>
          <w:b/>
          <w:szCs w:val="21"/>
        </w:rPr>
        <w:br w:type="page"/>
      </w:r>
    </w:p>
    <w:p w14:paraId="35E08BB3">
      <w:pPr>
        <w:keepNext/>
        <w:keepLines/>
        <w:widowControl w:val="0"/>
        <w:adjustRightInd w:val="0"/>
        <w:snapToGrid w:val="0"/>
        <w:spacing w:before="161" w:beforeLines="50" w:line="360" w:lineRule="auto"/>
        <w:jc w:val="center"/>
        <w:outlineLvl w:val="1"/>
        <w:rPr>
          <w:rFonts w:hint="eastAsia" w:ascii="宋体" w:hAnsi="宋体" w:eastAsia="宋体" w:cs="宋体"/>
          <w:b/>
          <w:bCs/>
          <w:kern w:val="2"/>
          <w:sz w:val="28"/>
          <w:szCs w:val="28"/>
          <w:lang w:val="en-US" w:eastAsia="zh-CN" w:bidi="ar-SA"/>
        </w:rPr>
      </w:pPr>
      <w:bookmarkStart w:id="33" w:name="_Toc2180"/>
      <w:r>
        <w:rPr>
          <w:rFonts w:hint="eastAsia" w:ascii="宋体" w:hAnsi="宋体" w:eastAsia="宋体" w:cs="宋体"/>
          <w:b/>
          <w:bCs/>
          <w:kern w:val="2"/>
          <w:sz w:val="28"/>
          <w:szCs w:val="28"/>
          <w:lang w:val="en-US" w:eastAsia="zh-CN" w:bidi="ar-SA"/>
        </w:rPr>
        <w:t>第二节 投标须知</w:t>
      </w:r>
      <w:bookmarkEnd w:id="33"/>
    </w:p>
    <w:p w14:paraId="025C2726">
      <w:pPr>
        <w:keepNext/>
        <w:keepLines/>
        <w:widowControl w:val="0"/>
        <w:adjustRightInd w:val="0"/>
        <w:snapToGrid w:val="0"/>
        <w:spacing w:before="161" w:beforeLines="50" w:after="0" w:line="360" w:lineRule="auto"/>
        <w:jc w:val="center"/>
        <w:outlineLvl w:val="2"/>
        <w:rPr>
          <w:rFonts w:hint="eastAsia" w:ascii="宋体" w:hAnsi="宋体" w:eastAsia="宋体" w:cs="宋体"/>
          <w:b w:val="0"/>
          <w:bCs/>
          <w:kern w:val="2"/>
          <w:sz w:val="28"/>
          <w:szCs w:val="28"/>
          <w:lang w:val="en-US" w:eastAsia="zh-CN" w:bidi="ar-SA"/>
        </w:rPr>
      </w:pPr>
      <w:bookmarkStart w:id="34" w:name="_Toc7332"/>
      <w:r>
        <w:rPr>
          <w:rFonts w:hint="eastAsia" w:ascii="宋体" w:hAnsi="宋体" w:eastAsia="宋体" w:cs="宋体"/>
          <w:b/>
          <w:bCs/>
          <w:kern w:val="2"/>
          <w:sz w:val="28"/>
          <w:szCs w:val="28"/>
          <w:lang w:val="en-US" w:eastAsia="zh-CN" w:bidi="ar-SA"/>
        </w:rPr>
        <w:t>一、总则</w:t>
      </w:r>
      <w:bookmarkEnd w:id="34"/>
    </w:p>
    <w:p w14:paraId="24569D78">
      <w:pPr>
        <w:adjustRightInd w:val="0"/>
        <w:snapToGrid w:val="0"/>
        <w:spacing w:before="161" w:beforeLines="50" w:line="360" w:lineRule="auto"/>
        <w:jc w:val="left"/>
        <w:rPr>
          <w:rFonts w:hint="eastAsia" w:ascii="宋体" w:hAnsi="宋体" w:eastAsia="宋体" w:cs="宋体"/>
        </w:rPr>
      </w:pPr>
      <w:r>
        <w:rPr>
          <w:rFonts w:hint="eastAsia" w:ascii="宋体" w:hAnsi="宋体" w:eastAsia="宋体" w:cs="宋体"/>
          <w:b/>
          <w:bCs/>
        </w:rPr>
        <w:t>1、适用范围</w:t>
      </w:r>
    </w:p>
    <w:p w14:paraId="29E3D512">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1.1</w:t>
      </w:r>
      <w:r>
        <w:rPr>
          <w:rFonts w:hint="eastAsia" w:ascii="宋体" w:hAnsi="宋体" w:eastAsia="宋体" w:cs="Times New Roman"/>
          <w:szCs w:val="21"/>
        </w:rPr>
        <w:t>本招标文件仅适用于本章第一节</w:t>
      </w:r>
      <w:r>
        <w:rPr>
          <w:rFonts w:hint="eastAsia" w:ascii="宋体" w:hAnsi="宋体" w:eastAsia="宋体" w:cs="Times New Roman"/>
          <w:b/>
          <w:bCs/>
          <w:szCs w:val="21"/>
        </w:rPr>
        <w:t>【投标须知前附表】</w:t>
      </w:r>
      <w:r>
        <w:rPr>
          <w:rFonts w:hint="eastAsia" w:ascii="宋体" w:hAnsi="宋体" w:eastAsia="宋体" w:cs="Times New Roman"/>
          <w:szCs w:val="21"/>
        </w:rPr>
        <w:t>中所叙述的采购项目</w:t>
      </w:r>
      <w:r>
        <w:rPr>
          <w:rFonts w:hint="eastAsia" w:ascii="宋体" w:hAnsi="宋体" w:eastAsia="宋体" w:cs="宋体"/>
        </w:rPr>
        <w:t>。</w:t>
      </w:r>
    </w:p>
    <w:p w14:paraId="2471E12B">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Times New Roman"/>
          <w:szCs w:val="21"/>
        </w:rPr>
        <w:t>1.2</w:t>
      </w:r>
      <w:r>
        <w:rPr>
          <w:rFonts w:hint="eastAsia" w:ascii="宋体" w:hAnsi="宋体" w:eastAsia="宋体" w:cs="Times New Roman"/>
          <w:b/>
          <w:szCs w:val="21"/>
        </w:rPr>
        <w:t>【投标须知前附表】</w:t>
      </w:r>
      <w:r>
        <w:rPr>
          <w:rFonts w:hint="eastAsia" w:ascii="宋体" w:hAnsi="宋体" w:eastAsia="宋体" w:cs="Times New Roman"/>
          <w:szCs w:val="21"/>
        </w:rPr>
        <w:t>规定采购项目或者采购包属于“预留采购份额”的，投标人应当符合本章第33.7款规定，否则，其</w:t>
      </w:r>
      <w:r>
        <w:rPr>
          <w:rFonts w:hint="eastAsia" w:ascii="宋体" w:hAnsi="宋体" w:eastAsia="宋体" w:cs="Times New Roman"/>
          <w:b/>
          <w:szCs w:val="21"/>
        </w:rPr>
        <w:t>投标无效</w:t>
      </w:r>
      <w:r>
        <w:rPr>
          <w:rFonts w:hint="eastAsia" w:ascii="宋体" w:hAnsi="宋体" w:eastAsia="宋体" w:cs="Times New Roman"/>
          <w:szCs w:val="21"/>
        </w:rPr>
        <w:t>。</w:t>
      </w:r>
    </w:p>
    <w:p w14:paraId="3FD7E8FE">
      <w:pPr>
        <w:adjustRightInd w:val="0"/>
        <w:snapToGrid w:val="0"/>
        <w:spacing w:before="161" w:beforeLines="50" w:line="360" w:lineRule="auto"/>
        <w:jc w:val="left"/>
        <w:rPr>
          <w:rFonts w:hint="eastAsia" w:ascii="宋体" w:hAnsi="宋体" w:eastAsia="宋体" w:cs="宋体"/>
        </w:rPr>
      </w:pPr>
      <w:r>
        <w:rPr>
          <w:rFonts w:hint="eastAsia" w:ascii="宋体" w:hAnsi="宋体" w:eastAsia="宋体" w:cs="宋体"/>
          <w:b/>
          <w:bCs/>
        </w:rPr>
        <w:t>2、定义</w:t>
      </w:r>
    </w:p>
    <w:p w14:paraId="59121EDB">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2.1采购项目联系人姓名和电话见</w:t>
      </w:r>
      <w:r>
        <w:rPr>
          <w:rFonts w:hint="eastAsia" w:ascii="宋体" w:hAnsi="宋体" w:eastAsia="宋体" w:cs="宋体"/>
          <w:b/>
          <w:bCs/>
        </w:rPr>
        <w:t>【投标须知前附表】</w:t>
      </w:r>
      <w:r>
        <w:rPr>
          <w:rFonts w:hint="eastAsia" w:ascii="宋体" w:hAnsi="宋体" w:eastAsia="宋体" w:cs="宋体"/>
        </w:rPr>
        <w:t>。</w:t>
      </w:r>
    </w:p>
    <w:p w14:paraId="27369572">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2.2采购人名称、地址、电话、联系人见</w:t>
      </w:r>
      <w:r>
        <w:rPr>
          <w:rFonts w:hint="eastAsia" w:ascii="宋体" w:hAnsi="宋体" w:eastAsia="宋体" w:cs="宋体"/>
          <w:b/>
          <w:bCs/>
        </w:rPr>
        <w:t>【投标须知前附表】</w:t>
      </w:r>
      <w:r>
        <w:rPr>
          <w:rFonts w:hint="eastAsia" w:ascii="宋体" w:hAnsi="宋体" w:eastAsia="宋体" w:cs="宋体"/>
        </w:rPr>
        <w:t>。</w:t>
      </w:r>
    </w:p>
    <w:p w14:paraId="741000BD">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2.3采购代理机构名称、地址、电话、联系人见</w:t>
      </w:r>
      <w:r>
        <w:rPr>
          <w:rFonts w:hint="eastAsia" w:ascii="宋体" w:hAnsi="宋体" w:eastAsia="宋体" w:cs="宋体"/>
          <w:b/>
          <w:bCs/>
        </w:rPr>
        <w:t>【投标须知前附表】</w:t>
      </w:r>
      <w:r>
        <w:rPr>
          <w:rFonts w:hint="eastAsia" w:ascii="宋体" w:hAnsi="宋体" w:eastAsia="宋体" w:cs="宋体"/>
        </w:rPr>
        <w:t>。</w:t>
      </w:r>
    </w:p>
    <w:p w14:paraId="24F95A0F">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2.4投标人系指响应招标、参加投标竞争的法人、其他组织或自然人。</w:t>
      </w:r>
    </w:p>
    <w:p w14:paraId="0D00AD9F">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2.5电子招标投标：是指电子招标投标参与各方（采购人、采购代理机构、供应商、评审专家）按照相关法律法规的规定，应用网络信息技术，使用CA数字证书（含电子签章、签名）在电子招标投标交易平台（以下简称交易平台），进行的招标投标活动。</w:t>
      </w:r>
    </w:p>
    <w:p w14:paraId="6E115AC4">
      <w:pPr>
        <w:adjustRightInd w:val="0"/>
        <w:snapToGrid w:val="0"/>
        <w:spacing w:before="161" w:beforeLines="50" w:line="360" w:lineRule="auto"/>
        <w:jc w:val="left"/>
        <w:rPr>
          <w:rFonts w:hint="eastAsia" w:ascii="宋体" w:hAnsi="宋体" w:eastAsia="宋体" w:cs="宋体"/>
        </w:rPr>
      </w:pPr>
      <w:r>
        <w:rPr>
          <w:rFonts w:hint="eastAsia" w:ascii="宋体" w:hAnsi="宋体" w:eastAsia="宋体" w:cs="宋体"/>
          <w:b/>
          <w:bCs/>
        </w:rPr>
        <w:t>3、投标人的资格要求</w:t>
      </w:r>
    </w:p>
    <w:p w14:paraId="2AD3FF46">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3.1投标人应当符合</w:t>
      </w:r>
      <w:r>
        <w:rPr>
          <w:rFonts w:hint="eastAsia" w:ascii="宋体" w:hAnsi="宋体" w:eastAsia="宋体" w:cs="宋体"/>
          <w:b/>
          <w:bCs/>
        </w:rPr>
        <w:t>【投标须知前附表】</w:t>
      </w:r>
      <w:r>
        <w:rPr>
          <w:rFonts w:hint="eastAsia" w:ascii="宋体" w:hAnsi="宋体" w:eastAsia="宋体" w:cs="宋体"/>
        </w:rPr>
        <w:t>规定的投标人资格条件。</w:t>
      </w:r>
    </w:p>
    <w:p w14:paraId="21F4F3D4">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3.2</w:t>
      </w:r>
      <w:r>
        <w:rPr>
          <w:rFonts w:hint="eastAsia" w:ascii="宋体" w:hAnsi="宋体" w:eastAsia="宋体" w:cs="宋体"/>
          <w:b/>
          <w:bCs/>
        </w:rPr>
        <w:t>【投标须知前附表】</w:t>
      </w:r>
      <w:r>
        <w:rPr>
          <w:rFonts w:hint="eastAsia" w:ascii="宋体" w:hAnsi="宋体" w:eastAsia="宋体" w:cs="宋体"/>
        </w:rPr>
        <w:t>规定接受联合体形式投标的，投标人除应符合本章第 3.1 款规定外，还应遵守以下规定：</w:t>
      </w:r>
    </w:p>
    <w:p w14:paraId="4D3AC5DC">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（1）联合体中有同类资质的投标人按照联合体分工承担相同工作的，应当按照资质等级较低的投标人确定资质等级。</w:t>
      </w:r>
    </w:p>
    <w:p w14:paraId="62C56B73">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（2）联合体各方应按招标文件提供的格式签订联合体协议书，明确联合体牵头人和各方的权利义务、合同工作量比例。</w:t>
      </w:r>
    </w:p>
    <w:p w14:paraId="4AB81582">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（3）联合体各方签订联合体协议书后，不得再单独参加或者与其他投标人组成新的联合体参加同一合同项下的采购活动。</w:t>
      </w:r>
    </w:p>
    <w:p w14:paraId="131E0A4D">
      <w:pPr>
        <w:adjustRightInd w:val="0"/>
        <w:snapToGrid w:val="0"/>
        <w:spacing w:before="161" w:beforeLines="50" w:line="360" w:lineRule="auto"/>
        <w:jc w:val="left"/>
        <w:rPr>
          <w:rFonts w:hint="eastAsia" w:ascii="宋体" w:hAnsi="宋体" w:eastAsia="宋体" w:cs="宋体"/>
          <w:b/>
          <w:bCs/>
        </w:rPr>
      </w:pPr>
      <w:r>
        <w:rPr>
          <w:rFonts w:hint="eastAsia" w:ascii="宋体" w:hAnsi="宋体" w:eastAsia="宋体" w:cs="宋体"/>
          <w:b/>
          <w:bCs/>
        </w:rPr>
        <w:t>4、投标费用</w:t>
      </w:r>
    </w:p>
    <w:p w14:paraId="027DD8EF">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4.1投标人应自行承担所有参与投标的相关费用，不论投标的结果如何，采购人、采购代理机构均无义务和责任承担这些费用。</w:t>
      </w:r>
    </w:p>
    <w:p w14:paraId="30F7FBB4">
      <w:pPr>
        <w:adjustRightInd w:val="0"/>
        <w:snapToGrid w:val="0"/>
        <w:spacing w:before="161" w:beforeLines="50" w:line="360" w:lineRule="auto"/>
        <w:jc w:val="left"/>
        <w:rPr>
          <w:rFonts w:hint="eastAsia" w:ascii="宋体" w:hAnsi="宋体" w:eastAsia="宋体" w:cs="宋体"/>
          <w:b/>
          <w:bCs/>
        </w:rPr>
      </w:pPr>
      <w:r>
        <w:rPr>
          <w:rFonts w:hint="eastAsia" w:ascii="宋体" w:hAnsi="宋体" w:eastAsia="宋体" w:cs="宋体"/>
          <w:b/>
          <w:bCs/>
        </w:rPr>
        <w:t>5、组织现场考察或者召开答疑会</w:t>
      </w:r>
    </w:p>
    <w:p w14:paraId="347FE8AF">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5.1采购人、采购代理机构可以在</w:t>
      </w:r>
      <w:r>
        <w:rPr>
          <w:rFonts w:hint="eastAsia" w:ascii="宋体" w:hAnsi="宋体" w:eastAsia="宋体" w:cs="宋体"/>
          <w:b/>
          <w:bCs/>
        </w:rPr>
        <w:t>【投标须知前附表】</w:t>
      </w:r>
      <w:r>
        <w:rPr>
          <w:rFonts w:hint="eastAsia" w:ascii="宋体" w:hAnsi="宋体" w:eastAsia="宋体" w:cs="宋体"/>
        </w:rPr>
        <w:t>规定的招标文件提供期限截止后，组织已获取招标文件的潜在投标人现场考察或者召开开标前答疑会。</w:t>
      </w:r>
    </w:p>
    <w:p w14:paraId="2A0E4636">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5.2获取招标文件的潜在投标人应按</w:t>
      </w:r>
      <w:r>
        <w:rPr>
          <w:rFonts w:hint="eastAsia" w:ascii="宋体" w:hAnsi="宋体" w:eastAsia="宋体" w:cs="宋体"/>
          <w:b/>
          <w:bCs/>
        </w:rPr>
        <w:t>【投标须知前附表】</w:t>
      </w:r>
      <w:r>
        <w:rPr>
          <w:rFonts w:hint="eastAsia" w:ascii="宋体" w:hAnsi="宋体" w:eastAsia="宋体" w:cs="宋体"/>
        </w:rPr>
        <w:t>规定参加现场考察或者答疑会；如不参加，其风险由其自行承担。</w:t>
      </w:r>
    </w:p>
    <w:p w14:paraId="00A847C8">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5.3潜在投标人现场考察或者参加答疑会的费用由自己承担，现场考察期间所发生的人身伤害及财产损失由自己负责。</w:t>
      </w:r>
    </w:p>
    <w:p w14:paraId="52D6860B">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5.4采购人、采购代理机构不对投标人据此而做出的推论、理解和结论负责。投标人一旦中标，不得以任何借口，提出额外补偿，或延长合同期限的要求。</w:t>
      </w:r>
    </w:p>
    <w:p w14:paraId="0AE12B4B">
      <w:pPr>
        <w:keepNext/>
        <w:keepLines/>
        <w:widowControl w:val="0"/>
        <w:adjustRightInd w:val="0"/>
        <w:snapToGrid w:val="0"/>
        <w:spacing w:before="161" w:beforeLines="50" w:after="0" w:line="360" w:lineRule="auto"/>
        <w:jc w:val="center"/>
        <w:outlineLvl w:val="2"/>
        <w:rPr>
          <w:rFonts w:hint="eastAsia" w:ascii="宋体" w:hAnsi="宋体" w:eastAsia="宋体" w:cs="宋体"/>
          <w:b/>
          <w:bCs/>
          <w:kern w:val="2"/>
          <w:sz w:val="28"/>
          <w:szCs w:val="28"/>
          <w:lang w:val="en-US" w:eastAsia="zh-CN" w:bidi="ar-SA"/>
        </w:rPr>
      </w:pPr>
      <w:bookmarkStart w:id="35" w:name="_Toc23498"/>
      <w:r>
        <w:rPr>
          <w:rFonts w:hint="eastAsia" w:ascii="宋体" w:hAnsi="宋体" w:eastAsia="宋体" w:cs="宋体"/>
          <w:b/>
          <w:bCs/>
          <w:kern w:val="2"/>
          <w:sz w:val="28"/>
          <w:szCs w:val="28"/>
          <w:lang w:val="en-US" w:eastAsia="zh-CN" w:bidi="ar-SA"/>
        </w:rPr>
        <w:t>二、招标文件</w:t>
      </w:r>
      <w:bookmarkEnd w:id="35"/>
    </w:p>
    <w:p w14:paraId="7B468C46">
      <w:pPr>
        <w:adjustRightInd w:val="0"/>
        <w:snapToGrid w:val="0"/>
        <w:spacing w:before="161" w:beforeLines="50" w:line="360" w:lineRule="auto"/>
        <w:jc w:val="left"/>
        <w:rPr>
          <w:rFonts w:hint="eastAsia" w:ascii="宋体" w:hAnsi="宋体" w:eastAsia="宋体" w:cs="宋体"/>
        </w:rPr>
      </w:pPr>
      <w:r>
        <w:rPr>
          <w:rFonts w:hint="eastAsia" w:ascii="宋体" w:hAnsi="宋体" w:eastAsia="宋体" w:cs="宋体"/>
          <w:b/>
          <w:bCs/>
        </w:rPr>
        <w:t>6、招标文件的构成</w:t>
      </w:r>
    </w:p>
    <w:p w14:paraId="5C8043D4">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6.1招标文件共七章，各章内容如下：</w:t>
      </w:r>
    </w:p>
    <w:p w14:paraId="3FB6F328">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第一章 投标邀请</w:t>
      </w:r>
    </w:p>
    <w:p w14:paraId="689B28E2">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第二章 投标须知</w:t>
      </w:r>
    </w:p>
    <w:p w14:paraId="237C60C3">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第三章 资格审查</w:t>
      </w:r>
    </w:p>
    <w:p w14:paraId="7598D993">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第四章 评标方法及标准</w:t>
      </w:r>
    </w:p>
    <w:p w14:paraId="03DFDA36">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第五章 采购需求</w:t>
      </w:r>
    </w:p>
    <w:p w14:paraId="3DC2FC32">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第六章 政府采购合同</w:t>
      </w:r>
    </w:p>
    <w:p w14:paraId="7C51D4F0">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第七章 投标文件的组成</w:t>
      </w:r>
    </w:p>
    <w:p w14:paraId="6A630607">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6.2采购人、采购代理机构在提交投标文件截止时间前对招标文件所作的澄清或者修改，构成招标文件的组成部分。</w:t>
      </w:r>
    </w:p>
    <w:p w14:paraId="73EB2AB5">
      <w:pPr>
        <w:adjustRightInd w:val="0"/>
        <w:snapToGrid w:val="0"/>
        <w:spacing w:before="161" w:beforeLines="50" w:line="360" w:lineRule="auto"/>
        <w:jc w:val="left"/>
        <w:rPr>
          <w:rFonts w:hint="eastAsia" w:ascii="宋体" w:hAnsi="宋体" w:eastAsia="宋体" w:cs="宋体"/>
        </w:rPr>
      </w:pPr>
      <w:r>
        <w:rPr>
          <w:rFonts w:hint="eastAsia" w:ascii="宋体" w:hAnsi="宋体" w:eastAsia="宋体" w:cs="宋体"/>
          <w:b/>
          <w:bCs/>
        </w:rPr>
        <w:t>7、偏离与实质性响应</w:t>
      </w:r>
    </w:p>
    <w:p w14:paraId="1FD25EBD">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7.1投标人应当按照招标文件的要求编制投标文件。投标文件应当对招标文件提出的要求和条件作出明确响应。</w:t>
      </w:r>
    </w:p>
    <w:p w14:paraId="64892B3C">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7.2偏离是指投标文件不响应或者不满足招标文件提出的要求和条件，分为实质性偏离和非实质性偏离。</w:t>
      </w:r>
    </w:p>
    <w:p w14:paraId="7D4C8DEF">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7.3除法律、法规和招标文件规定的其他投标无效情形外，招标文件中用“★”符号标明的条款为实质性要求和条件，对其中任何一条的偏离，为实质性偏离，</w:t>
      </w:r>
      <w:r>
        <w:rPr>
          <w:rFonts w:hint="eastAsia" w:ascii="宋体" w:hAnsi="宋体" w:eastAsia="宋体" w:cs="宋体"/>
          <w:b/>
          <w:bCs/>
        </w:rPr>
        <w:t>其投标无效</w:t>
      </w:r>
      <w:r>
        <w:rPr>
          <w:rFonts w:hint="eastAsia" w:ascii="宋体" w:hAnsi="宋体" w:eastAsia="宋体" w:cs="宋体"/>
        </w:rPr>
        <w:t>。</w:t>
      </w:r>
    </w:p>
    <w:p w14:paraId="7CEE14AA">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7.4投标文件偏离招标文件的非实质性要求和条件，为非实质性偏离。非实质性偏离的范围和幅度应当符合</w:t>
      </w:r>
      <w:r>
        <w:rPr>
          <w:rFonts w:hint="eastAsia" w:ascii="宋体" w:hAnsi="宋体" w:eastAsia="宋体" w:cs="宋体"/>
          <w:b/>
          <w:bCs/>
        </w:rPr>
        <w:t>【投标须知前附表】</w:t>
      </w:r>
      <w:r>
        <w:rPr>
          <w:rFonts w:hint="eastAsia" w:ascii="宋体" w:hAnsi="宋体" w:eastAsia="宋体" w:cs="宋体"/>
        </w:rPr>
        <w:t>的规定，</w:t>
      </w:r>
      <w:r>
        <w:rPr>
          <w:rFonts w:hint="eastAsia" w:ascii="宋体" w:hAnsi="宋体" w:eastAsia="宋体" w:cs="宋体"/>
          <w:b/>
          <w:bCs/>
        </w:rPr>
        <w:t>否则投标无效</w:t>
      </w:r>
      <w:r>
        <w:rPr>
          <w:rFonts w:hint="eastAsia" w:ascii="宋体" w:hAnsi="宋体" w:eastAsia="宋体" w:cs="宋体"/>
        </w:rPr>
        <w:t>。</w:t>
      </w:r>
    </w:p>
    <w:p w14:paraId="549BADED">
      <w:pPr>
        <w:adjustRightInd w:val="0"/>
        <w:snapToGrid w:val="0"/>
        <w:spacing w:before="161" w:beforeLines="50" w:line="360" w:lineRule="auto"/>
        <w:jc w:val="left"/>
        <w:rPr>
          <w:rFonts w:hint="eastAsia" w:ascii="宋体" w:hAnsi="宋体" w:eastAsia="宋体" w:cs="宋体"/>
        </w:rPr>
      </w:pPr>
      <w:r>
        <w:rPr>
          <w:rFonts w:hint="eastAsia" w:ascii="宋体" w:hAnsi="宋体" w:eastAsia="宋体" w:cs="宋体"/>
          <w:b/>
          <w:bCs/>
        </w:rPr>
        <w:t>8、询问</w:t>
      </w:r>
    </w:p>
    <w:p w14:paraId="736C33C9">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8.1潜在投标人应仔细阅读和检查招标文件的全部内容。如有疑问，可以向采购人或者采购代理机构提出询问。</w:t>
      </w:r>
    </w:p>
    <w:p w14:paraId="190BAC4B">
      <w:pPr>
        <w:adjustRightInd w:val="0"/>
        <w:snapToGrid w:val="0"/>
        <w:spacing w:before="161" w:beforeLines="50" w:line="360" w:lineRule="auto"/>
        <w:jc w:val="left"/>
        <w:rPr>
          <w:rFonts w:hint="eastAsia" w:ascii="宋体" w:hAnsi="宋体" w:eastAsia="宋体" w:cs="宋体"/>
        </w:rPr>
      </w:pPr>
      <w:r>
        <w:rPr>
          <w:rFonts w:hint="eastAsia" w:ascii="宋体" w:hAnsi="宋体" w:eastAsia="宋体" w:cs="宋体"/>
          <w:b/>
          <w:bCs/>
        </w:rPr>
        <w:t>9、招标文件的澄清或者修改</w:t>
      </w:r>
    </w:p>
    <w:p w14:paraId="6FDD7FE7">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9.1采购人、采购代理机构对已发出的招标文件进行必要澄清或者修改的，将在</w:t>
      </w:r>
      <w:r>
        <w:rPr>
          <w:rFonts w:hint="eastAsia" w:ascii="宋体" w:hAnsi="宋体" w:eastAsia="宋体" w:cs="宋体"/>
          <w:b/>
          <w:bCs/>
        </w:rPr>
        <w:t>【投标须知前附表】</w:t>
      </w:r>
      <w:r>
        <w:rPr>
          <w:rFonts w:hint="eastAsia" w:ascii="宋体" w:hAnsi="宋体" w:eastAsia="宋体" w:cs="宋体"/>
        </w:rPr>
        <w:t>规定的招标公告指定媒体上发布澄清或者修改公告。</w:t>
      </w:r>
    </w:p>
    <w:p w14:paraId="1F80A5C6">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9.2澄清或者修改的内容可能影响投标文件编制的，采购人、采购代理机构将在提交投标文件截止时间 15 日前，以书面形式通知所有获取招标文件的潜在投标人；不足 15 日的，将相应延长提交投标文件的截止时间。</w:t>
      </w:r>
    </w:p>
    <w:p w14:paraId="2564634A">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9.3招标文件的提供期限届满后，获取招标文件的潜在投标人不足 3 家的，可以顺延提供期限，并在指定媒体上发布修改公告。</w:t>
      </w:r>
    </w:p>
    <w:p w14:paraId="1741D6DE">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9.4通过电子招标投标交易平台下载招标文件的，请获取招标文件的潜在投标人及时关注招标公告指定媒体发布的澄清或者修改公告，采购人、采购代理机构不再书面通知。</w:t>
      </w:r>
    </w:p>
    <w:p w14:paraId="53DCB2FA">
      <w:pPr>
        <w:keepNext/>
        <w:keepLines/>
        <w:widowControl w:val="0"/>
        <w:adjustRightInd w:val="0"/>
        <w:snapToGrid w:val="0"/>
        <w:spacing w:before="161" w:beforeLines="50" w:after="0" w:line="360" w:lineRule="auto"/>
        <w:jc w:val="center"/>
        <w:outlineLvl w:val="2"/>
        <w:rPr>
          <w:rFonts w:hint="eastAsia" w:ascii="宋体" w:hAnsi="宋体" w:eastAsia="宋体" w:cs="宋体"/>
          <w:b/>
          <w:bCs/>
          <w:kern w:val="2"/>
          <w:sz w:val="28"/>
          <w:szCs w:val="28"/>
          <w:lang w:val="en-US" w:eastAsia="zh-CN" w:bidi="ar-SA"/>
        </w:rPr>
      </w:pPr>
      <w:bookmarkStart w:id="36" w:name="_Toc16636"/>
      <w:r>
        <w:rPr>
          <w:rFonts w:hint="eastAsia" w:ascii="宋体" w:hAnsi="宋体" w:eastAsia="宋体" w:cs="宋体"/>
          <w:b/>
          <w:bCs/>
          <w:kern w:val="2"/>
          <w:sz w:val="28"/>
          <w:szCs w:val="28"/>
          <w:lang w:val="en-US" w:eastAsia="zh-CN" w:bidi="ar-SA"/>
        </w:rPr>
        <w:t>三、投标文件</w:t>
      </w:r>
      <w:bookmarkEnd w:id="36"/>
    </w:p>
    <w:p w14:paraId="54CB00BA">
      <w:pPr>
        <w:adjustRightInd w:val="0"/>
        <w:snapToGrid w:val="0"/>
        <w:spacing w:before="161" w:beforeLines="50" w:line="360" w:lineRule="auto"/>
        <w:jc w:val="left"/>
        <w:rPr>
          <w:rFonts w:hint="eastAsia" w:ascii="宋体" w:hAnsi="宋体" w:eastAsia="宋体" w:cs="宋体"/>
          <w:b/>
          <w:bCs/>
          <w:szCs w:val="21"/>
        </w:rPr>
      </w:pPr>
      <w:r>
        <w:rPr>
          <w:rFonts w:hint="eastAsia" w:ascii="宋体" w:hAnsi="宋体" w:eastAsia="宋体" w:cs="宋体"/>
          <w:b/>
          <w:bCs/>
          <w:szCs w:val="21"/>
        </w:rPr>
        <w:t>10、投标语言</w:t>
      </w:r>
    </w:p>
    <w:p w14:paraId="0AE7CC98">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10.1除专用术语外，投标人提交的投标文件及投标人与采购人、采购代理机构就有关投标的所有来往函电均使用中文。投标人可以提交其它语言的资料，但应附有中文注释，有差异时以中文为准。</w:t>
      </w:r>
    </w:p>
    <w:p w14:paraId="79A0A1B5">
      <w:pPr>
        <w:adjustRightInd w:val="0"/>
        <w:snapToGrid w:val="0"/>
        <w:spacing w:before="161" w:beforeLines="50" w:line="360" w:lineRule="auto"/>
        <w:jc w:val="left"/>
        <w:rPr>
          <w:rFonts w:hint="eastAsia" w:ascii="宋体" w:hAnsi="宋体" w:eastAsia="宋体" w:cs="宋体"/>
          <w:b/>
          <w:bCs/>
          <w:szCs w:val="21"/>
        </w:rPr>
      </w:pPr>
      <w:r>
        <w:rPr>
          <w:rFonts w:hint="eastAsia" w:ascii="宋体" w:hAnsi="宋体" w:eastAsia="宋体" w:cs="宋体"/>
          <w:b/>
          <w:bCs/>
          <w:szCs w:val="21"/>
        </w:rPr>
        <w:t>11、计量单位</w:t>
      </w:r>
    </w:p>
    <w:p w14:paraId="22688954">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11.1所有计量均采用中华人民共和国法定计量单位。</w:t>
      </w:r>
    </w:p>
    <w:p w14:paraId="1F6916A3">
      <w:pPr>
        <w:adjustRightInd w:val="0"/>
        <w:snapToGrid w:val="0"/>
        <w:spacing w:before="161" w:beforeLines="50" w:line="360" w:lineRule="auto"/>
        <w:jc w:val="left"/>
        <w:rPr>
          <w:rFonts w:hint="eastAsia" w:ascii="宋体" w:hAnsi="宋体" w:eastAsia="宋体" w:cs="宋体"/>
          <w:b/>
          <w:bCs/>
          <w:szCs w:val="21"/>
        </w:rPr>
      </w:pPr>
      <w:r>
        <w:rPr>
          <w:rFonts w:hint="eastAsia" w:ascii="宋体" w:hAnsi="宋体" w:eastAsia="宋体" w:cs="宋体"/>
          <w:b/>
          <w:bCs/>
          <w:szCs w:val="21"/>
        </w:rPr>
        <w:t>12、投标文件的组成</w:t>
      </w:r>
    </w:p>
    <w:p w14:paraId="1D962AC2">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 xml:space="preserve">12.1投标文件由如下内容组成： </w:t>
      </w:r>
    </w:p>
    <w:p w14:paraId="24F30927">
      <w:pPr>
        <w:adjustRightInd w:val="0"/>
        <w:snapToGrid w:val="0"/>
        <w:spacing w:before="161" w:beforeLines="50"/>
        <w:ind w:firstLine="422" w:firstLineChars="200"/>
        <w:rPr>
          <w:rFonts w:hint="eastAsia" w:ascii="宋体" w:hAnsi="宋体" w:eastAsia="宋体" w:cs="宋体"/>
          <w:b/>
          <w:szCs w:val="21"/>
        </w:rPr>
      </w:pPr>
      <w:r>
        <w:rPr>
          <w:rFonts w:hint="eastAsia" w:ascii="宋体" w:hAnsi="宋体" w:eastAsia="宋体" w:cs="宋体"/>
          <w:b/>
          <w:szCs w:val="21"/>
        </w:rPr>
        <w:t>第一部分 资格证明文件</w:t>
      </w:r>
    </w:p>
    <w:p w14:paraId="1AB2EB3F">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资格证明文件封面</w:t>
      </w:r>
    </w:p>
    <w:p w14:paraId="5CF78DB3">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一、资格证明材料</w:t>
      </w:r>
    </w:p>
    <w:p w14:paraId="2004069D">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（一）开标一览表</w:t>
      </w:r>
    </w:p>
    <w:p w14:paraId="557E6ECE">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（二）投标保证金</w:t>
      </w:r>
    </w:p>
    <w:p w14:paraId="6E6DB065">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（三）法定代表人（单位负责人）身份证明或授权委托书</w:t>
      </w:r>
    </w:p>
    <w:p w14:paraId="0115118D">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（四）投标人提供的资格证明文件</w:t>
      </w:r>
    </w:p>
    <w:p w14:paraId="204EEF45">
      <w:pPr>
        <w:adjustRightInd w:val="0"/>
        <w:snapToGrid w:val="0"/>
        <w:spacing w:before="161" w:beforeLines="50"/>
        <w:ind w:firstLine="422" w:firstLineChars="200"/>
        <w:rPr>
          <w:rFonts w:hint="eastAsia" w:ascii="宋体" w:hAnsi="宋体" w:eastAsia="宋体" w:cs="宋体"/>
          <w:b/>
          <w:szCs w:val="21"/>
        </w:rPr>
      </w:pPr>
      <w:r>
        <w:rPr>
          <w:rFonts w:hint="eastAsia" w:ascii="宋体" w:hAnsi="宋体" w:eastAsia="宋体" w:cs="宋体"/>
          <w:b/>
          <w:szCs w:val="21"/>
        </w:rPr>
        <w:t>第二部分 商务文件</w:t>
      </w:r>
    </w:p>
    <w:p w14:paraId="0F3DE185">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商务文件封面</w:t>
      </w:r>
    </w:p>
    <w:p w14:paraId="540153D0">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二、投标函</w:t>
      </w:r>
    </w:p>
    <w:p w14:paraId="51F9465D">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三、开标一览表</w:t>
      </w:r>
    </w:p>
    <w:p w14:paraId="630D403D">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四、分项价格表</w:t>
      </w:r>
    </w:p>
    <w:p w14:paraId="0E6657ED">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五、中小企业声明函</w:t>
      </w:r>
    </w:p>
    <w:p w14:paraId="0747EAEE">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六、残疾人福利性单位声明函</w:t>
      </w:r>
    </w:p>
    <w:p w14:paraId="6D0C590A">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七、商务要求响应情况</w:t>
      </w:r>
    </w:p>
    <w:p w14:paraId="0DC0D7C3">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八、培训方案</w:t>
      </w:r>
    </w:p>
    <w:p w14:paraId="3A220285">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九、售后服务</w:t>
      </w:r>
    </w:p>
    <w:p w14:paraId="45C78860">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十、类似经验</w:t>
      </w:r>
    </w:p>
    <w:p w14:paraId="12C79F79">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十一、投标人认为需要提供的其他资料</w:t>
      </w:r>
    </w:p>
    <w:p w14:paraId="0F3D9B35">
      <w:pPr>
        <w:adjustRightInd w:val="0"/>
        <w:snapToGrid w:val="0"/>
        <w:spacing w:before="161" w:beforeLines="50"/>
        <w:ind w:firstLine="422" w:firstLineChars="200"/>
        <w:rPr>
          <w:rFonts w:hint="eastAsia" w:ascii="宋体" w:hAnsi="宋体" w:eastAsia="宋体" w:cs="宋体"/>
          <w:b/>
          <w:szCs w:val="21"/>
        </w:rPr>
      </w:pPr>
      <w:r>
        <w:rPr>
          <w:rFonts w:hint="eastAsia" w:ascii="宋体" w:hAnsi="宋体" w:eastAsia="宋体" w:cs="宋体"/>
          <w:b/>
          <w:szCs w:val="21"/>
        </w:rPr>
        <w:t>第三部分 技术文件</w:t>
      </w:r>
    </w:p>
    <w:p w14:paraId="49780736">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技术文件封面</w:t>
      </w:r>
    </w:p>
    <w:p w14:paraId="1CB97CFC">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十二、货物说明一览表</w:t>
      </w:r>
    </w:p>
    <w:p w14:paraId="12FC8546">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十三、响应偏离表</w:t>
      </w:r>
    </w:p>
    <w:p w14:paraId="7C918AF8">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十四、投标货物符合招标文件规定的证明文件</w:t>
      </w:r>
    </w:p>
    <w:p w14:paraId="768D434D">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十五、技术指标和功能要求</w:t>
      </w:r>
    </w:p>
    <w:p w14:paraId="245BE0E1">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十六、项目实施方案</w:t>
      </w:r>
    </w:p>
    <w:p w14:paraId="73CECD9C">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12.2投标人可以编制资格审查索引表、符合性审查索引表、评审索引表，以方便采购人、采购代理机构、评标委员会在资格审查及评审时查阅。</w:t>
      </w:r>
    </w:p>
    <w:p w14:paraId="5FB2CA83">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12.</w:t>
      </w:r>
      <w:r>
        <w:rPr>
          <w:rFonts w:ascii="宋体" w:hAnsi="宋体" w:eastAsia="宋体" w:cs="宋体"/>
          <w:szCs w:val="21"/>
        </w:rPr>
        <w:t>3</w:t>
      </w:r>
      <w:r>
        <w:rPr>
          <w:rFonts w:hint="eastAsia" w:ascii="宋体" w:hAnsi="宋体" w:eastAsia="宋体" w:cs="宋体"/>
          <w:szCs w:val="21"/>
        </w:rPr>
        <w:t>投标人应按照电子招标文件格式及投标工具编制资格证明文件，不得将其编制到商务和技术文件中。否则，由于编制失误所产生的后果，由投标人自行承担。</w:t>
      </w:r>
    </w:p>
    <w:p w14:paraId="690FF2B5">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12.4根据《政府采购法》第四十二条的规定，投标人无论中标与否，其投标文件不予退还。</w:t>
      </w:r>
    </w:p>
    <w:p w14:paraId="23DEF1E8">
      <w:pPr>
        <w:adjustRightInd w:val="0"/>
        <w:snapToGrid w:val="0"/>
        <w:spacing w:before="161" w:beforeLines="50" w:line="360" w:lineRule="auto"/>
        <w:jc w:val="left"/>
        <w:rPr>
          <w:rFonts w:hint="eastAsia" w:ascii="宋体" w:hAnsi="宋体" w:eastAsia="宋体" w:cs="宋体"/>
          <w:b/>
          <w:bCs/>
          <w:szCs w:val="21"/>
        </w:rPr>
      </w:pPr>
      <w:r>
        <w:rPr>
          <w:rFonts w:hint="eastAsia" w:ascii="宋体" w:hAnsi="宋体" w:eastAsia="宋体" w:cs="宋体"/>
          <w:b/>
          <w:bCs/>
          <w:szCs w:val="21"/>
        </w:rPr>
        <w:t>13、投标报价</w:t>
      </w:r>
    </w:p>
    <w:p w14:paraId="3AF31731">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13.1投标人应以招标文件规定的供货及服务要求、责任范围和合同条件为基础，按第七章“投标文件的组成”的有关规定进行报价。投标人的报价应包括为完成本项目所要求的全部内容可能发生的全部费用和税费、规费、保险费（如果有）等，采购人将不再支付报价以外的任何费用。</w:t>
      </w:r>
    </w:p>
    <w:p w14:paraId="1ACD7856">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13.2投标人的投标报价不得超过采购预算，也不得超过最高限价(如果设定)，否则其</w:t>
      </w:r>
      <w:r>
        <w:rPr>
          <w:rFonts w:hint="eastAsia" w:ascii="宋体" w:hAnsi="宋体" w:eastAsia="宋体" w:cs="宋体"/>
          <w:b/>
          <w:bCs/>
          <w:szCs w:val="21"/>
        </w:rPr>
        <w:t>投标无效</w:t>
      </w:r>
      <w:r>
        <w:rPr>
          <w:rFonts w:hint="eastAsia" w:ascii="宋体" w:hAnsi="宋体" w:eastAsia="宋体" w:cs="宋体"/>
          <w:szCs w:val="21"/>
        </w:rPr>
        <w:t>。采购项目预算、最高限价见</w:t>
      </w:r>
      <w:r>
        <w:rPr>
          <w:rFonts w:hint="eastAsia" w:ascii="宋体" w:hAnsi="宋体" w:eastAsia="宋体" w:cs="宋体"/>
          <w:b/>
          <w:bCs/>
          <w:szCs w:val="21"/>
        </w:rPr>
        <w:t>【投标须知前附表】</w:t>
      </w:r>
      <w:r>
        <w:rPr>
          <w:rFonts w:hint="eastAsia" w:ascii="宋体" w:hAnsi="宋体" w:eastAsia="宋体" w:cs="宋体"/>
          <w:szCs w:val="21"/>
        </w:rPr>
        <w:t>。</w:t>
      </w:r>
    </w:p>
    <w:p w14:paraId="578E444C">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13.3投标人应在分项报价明细表中对每项内容给予详细分项报价。</w:t>
      </w:r>
    </w:p>
    <w:p w14:paraId="07DEF546">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13.4投标人对采购项目内容只允许有一个投标报价，否则其</w:t>
      </w:r>
      <w:r>
        <w:rPr>
          <w:rFonts w:hint="eastAsia" w:ascii="宋体" w:hAnsi="宋体" w:eastAsia="宋体" w:cs="宋体"/>
          <w:b/>
          <w:bCs/>
          <w:szCs w:val="21"/>
        </w:rPr>
        <w:t>投标无效</w:t>
      </w:r>
      <w:r>
        <w:rPr>
          <w:rFonts w:hint="eastAsia" w:ascii="宋体" w:hAnsi="宋体" w:eastAsia="宋体" w:cs="宋体"/>
          <w:szCs w:val="21"/>
        </w:rPr>
        <w:t>。</w:t>
      </w:r>
    </w:p>
    <w:p w14:paraId="0F7433DB">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13.5采购人不接受投标人给予的赠品、回扣或者与采购无关的其他商品、服务。如有赠与行为，其</w:t>
      </w:r>
      <w:r>
        <w:rPr>
          <w:rFonts w:hint="eastAsia" w:ascii="宋体" w:hAnsi="宋体" w:eastAsia="宋体" w:cs="宋体"/>
          <w:b/>
          <w:bCs/>
          <w:szCs w:val="21"/>
        </w:rPr>
        <w:t>投标无效</w:t>
      </w:r>
      <w:r>
        <w:rPr>
          <w:rFonts w:hint="eastAsia" w:ascii="宋体" w:hAnsi="宋体" w:eastAsia="宋体" w:cs="宋体"/>
          <w:szCs w:val="21"/>
        </w:rPr>
        <w:t>。</w:t>
      </w:r>
    </w:p>
    <w:p w14:paraId="77F61F96">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13.6投标文件中标明的价格在合同执行过程中是固定不变的，不得以任何理由予以变更。任何包含价格调整要求和条件的投标，其</w:t>
      </w:r>
      <w:r>
        <w:rPr>
          <w:rFonts w:hint="eastAsia" w:ascii="宋体" w:hAnsi="宋体" w:eastAsia="宋体" w:cs="宋体"/>
          <w:b/>
          <w:bCs/>
          <w:szCs w:val="21"/>
        </w:rPr>
        <w:t>投标无效</w:t>
      </w:r>
      <w:r>
        <w:rPr>
          <w:rFonts w:hint="eastAsia" w:ascii="宋体" w:hAnsi="宋体" w:eastAsia="宋体" w:cs="宋体"/>
          <w:szCs w:val="21"/>
        </w:rPr>
        <w:t>。</w:t>
      </w:r>
    </w:p>
    <w:p w14:paraId="3826C530">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13.7投标人在投标截止时间前修改“开标一览表”中的投标报价的，应同时修改投标文件“分项报价明细表”“享受政府采购政策优惠的证明资料”以及“联合体协议书”（如果影响）等相关内容。此修改须符合本章第 22.1 款的有关要求。</w:t>
      </w:r>
    </w:p>
    <w:p w14:paraId="42679A7A">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13.8投标报价的其他要求见</w:t>
      </w:r>
      <w:r>
        <w:rPr>
          <w:rFonts w:hint="eastAsia" w:ascii="宋体" w:hAnsi="宋体" w:eastAsia="宋体" w:cs="宋体"/>
          <w:b/>
          <w:bCs/>
          <w:szCs w:val="21"/>
        </w:rPr>
        <w:t>【投标须知前附表】</w:t>
      </w:r>
      <w:r>
        <w:rPr>
          <w:rFonts w:hint="eastAsia" w:ascii="宋体" w:hAnsi="宋体" w:eastAsia="宋体" w:cs="宋体"/>
          <w:szCs w:val="21"/>
        </w:rPr>
        <w:t>。</w:t>
      </w:r>
    </w:p>
    <w:p w14:paraId="1B9E2492">
      <w:pPr>
        <w:adjustRightInd w:val="0"/>
        <w:snapToGrid w:val="0"/>
        <w:spacing w:before="161" w:beforeLines="50" w:line="360" w:lineRule="auto"/>
        <w:jc w:val="left"/>
        <w:rPr>
          <w:rFonts w:hint="eastAsia" w:ascii="宋体" w:hAnsi="宋体" w:eastAsia="宋体" w:cs="宋体"/>
          <w:b/>
          <w:bCs/>
          <w:szCs w:val="21"/>
        </w:rPr>
      </w:pPr>
      <w:r>
        <w:rPr>
          <w:rFonts w:hint="eastAsia" w:ascii="宋体" w:hAnsi="宋体" w:eastAsia="宋体" w:cs="宋体"/>
          <w:b/>
          <w:bCs/>
          <w:szCs w:val="21"/>
        </w:rPr>
        <w:t>14、投标人的资格证明文件</w:t>
      </w:r>
    </w:p>
    <w:p w14:paraId="1CEDBE3F">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14.1除</w:t>
      </w:r>
      <w:r>
        <w:rPr>
          <w:rFonts w:hint="eastAsia" w:ascii="宋体" w:hAnsi="宋体" w:eastAsia="宋体" w:cs="宋体"/>
          <w:b/>
          <w:bCs/>
          <w:szCs w:val="21"/>
        </w:rPr>
        <w:t>【投标须知前附表】</w:t>
      </w:r>
      <w:r>
        <w:rPr>
          <w:rFonts w:hint="eastAsia" w:ascii="宋体" w:hAnsi="宋体" w:eastAsia="宋体" w:cs="宋体"/>
          <w:szCs w:val="21"/>
        </w:rPr>
        <w:t>另有规定外，投标人应按下列规定提供资格证明文件。</w:t>
      </w:r>
    </w:p>
    <w:p w14:paraId="67A83C1E">
      <w:pPr>
        <w:adjustRightInd w:val="0"/>
        <w:snapToGrid w:val="0"/>
        <w:spacing w:before="161" w:beforeLines="50" w:line="360" w:lineRule="auto"/>
        <w:ind w:firstLine="422" w:firstLineChars="200"/>
        <w:jc w:val="left"/>
        <w:rPr>
          <w:rFonts w:hint="eastAsia" w:ascii="宋体" w:hAnsi="宋体" w:eastAsia="宋体" w:cs="宋体"/>
          <w:szCs w:val="21"/>
        </w:rPr>
      </w:pPr>
      <w:r>
        <w:rPr>
          <w:rFonts w:hint="eastAsia" w:ascii="宋体" w:hAnsi="宋体" w:eastAsia="宋体" w:cs="宋体"/>
          <w:b/>
          <w:bCs/>
          <w:szCs w:val="21"/>
        </w:rPr>
        <w:t>（1）法人或者其他组织的营业执照等主体资格证明文件，自然人的身份证明</w:t>
      </w:r>
      <w:r>
        <w:rPr>
          <w:rFonts w:hint="eastAsia" w:ascii="宋体" w:hAnsi="宋体" w:eastAsia="宋体" w:cs="宋体"/>
          <w:szCs w:val="21"/>
        </w:rPr>
        <w:t>：投标人为法人的，应提交营业执照或法人登记证书的复印件；投标人为非法人组织的，应提交依法登记证书复印件；投标人为个体工商户的，应提交个体工商户营业执照复印件；投标人为自然人的，应提交自然人的身份证明复印件。</w:t>
      </w:r>
    </w:p>
    <w:p w14:paraId="3C1744CF">
      <w:pPr>
        <w:adjustRightInd w:val="0"/>
        <w:snapToGrid w:val="0"/>
        <w:spacing w:before="161" w:beforeLines="50" w:line="360" w:lineRule="auto"/>
        <w:ind w:firstLine="422" w:firstLineChars="200"/>
        <w:jc w:val="left"/>
        <w:rPr>
          <w:rFonts w:hint="eastAsia" w:ascii="宋体" w:hAnsi="宋体" w:eastAsia="宋体" w:cs="宋体"/>
          <w:b/>
          <w:bCs/>
          <w:szCs w:val="21"/>
        </w:rPr>
      </w:pPr>
      <w:r>
        <w:rPr>
          <w:rFonts w:hint="eastAsia" w:ascii="宋体" w:hAnsi="宋体" w:eastAsia="宋体" w:cs="宋体"/>
          <w:b/>
          <w:bCs/>
          <w:szCs w:val="21"/>
        </w:rPr>
        <w:t>（2）湖南省政府采购供应商资格承诺函(格式)</w:t>
      </w:r>
    </w:p>
    <w:p w14:paraId="63B780FB">
      <w:pPr>
        <w:adjustRightInd w:val="0"/>
        <w:snapToGrid w:val="0"/>
        <w:spacing w:before="161" w:beforeLines="50" w:line="360" w:lineRule="auto"/>
        <w:ind w:firstLine="422" w:firstLineChars="200"/>
        <w:jc w:val="left"/>
        <w:rPr>
          <w:rFonts w:hint="eastAsia" w:ascii="宋体" w:hAnsi="宋体" w:eastAsia="宋体" w:cs="宋体"/>
          <w:szCs w:val="21"/>
        </w:rPr>
      </w:pPr>
      <w:r>
        <w:rPr>
          <w:rFonts w:hint="eastAsia" w:ascii="宋体" w:hAnsi="宋体" w:eastAsia="宋体" w:cs="宋体"/>
          <w:b/>
          <w:bCs/>
          <w:szCs w:val="21"/>
        </w:rPr>
        <w:t>（3）符合特定资格条件证明材料复印件或者情况说明。</w:t>
      </w:r>
    </w:p>
    <w:p w14:paraId="11DBF77A">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14.2投标人以联合体形式投标的，除应提交联合协议(格式)外，参加联合体的各方均应提交上款资格证明材料。</w:t>
      </w:r>
    </w:p>
    <w:p w14:paraId="3EB1B213">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14.3投标人的资格证明文件均应为有效文件并加盖投标人单位章，并按招标文件规定签署。</w:t>
      </w:r>
    </w:p>
    <w:p w14:paraId="420969EE">
      <w:pPr>
        <w:adjustRightInd w:val="0"/>
        <w:snapToGrid w:val="0"/>
        <w:spacing w:before="161" w:beforeLines="50" w:line="360" w:lineRule="auto"/>
        <w:jc w:val="left"/>
        <w:rPr>
          <w:rFonts w:hint="eastAsia" w:ascii="宋体" w:hAnsi="宋体" w:eastAsia="宋体" w:cs="宋体"/>
          <w:b/>
          <w:bCs/>
          <w:szCs w:val="21"/>
        </w:rPr>
      </w:pPr>
      <w:r>
        <w:rPr>
          <w:rFonts w:hint="eastAsia" w:ascii="宋体" w:hAnsi="宋体" w:eastAsia="宋体" w:cs="宋体"/>
          <w:b/>
          <w:bCs/>
          <w:szCs w:val="21"/>
        </w:rPr>
        <w:t>15、投标货物及服务符合招标文件规定的证明文件</w:t>
      </w:r>
    </w:p>
    <w:p w14:paraId="7E319FEE">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15.1投标人应当提交其拟供的合同项下货物及其服务符合招标文件规定的证明文件，该证明文件作为投标文件的一部分。</w:t>
      </w:r>
    </w:p>
    <w:p w14:paraId="50D170CF">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15.2上述证明文件可以是文字资料、图表、数据、证书等资料，包括但不限于：</w:t>
      </w:r>
    </w:p>
    <w:p w14:paraId="0DE19F14">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（1）货物主要技术指标和性能的详细说明。对有具体参数要求的指标，投标人应提供具体参数值；</w:t>
      </w:r>
    </w:p>
    <w:p w14:paraId="23A068A2">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（2）货物的品牌型号、制造商及原产地等说明；</w:t>
      </w:r>
    </w:p>
    <w:p w14:paraId="5BDAC253">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（3）招标文件第五章“采购需求”要求的其它文件。</w:t>
      </w:r>
    </w:p>
    <w:p w14:paraId="725DE22F">
      <w:pPr>
        <w:adjustRightInd w:val="0"/>
        <w:snapToGrid w:val="0"/>
        <w:spacing w:before="161" w:beforeLines="50" w:line="360" w:lineRule="auto"/>
        <w:jc w:val="left"/>
        <w:rPr>
          <w:rFonts w:hint="eastAsia" w:ascii="宋体" w:hAnsi="宋体" w:eastAsia="宋体" w:cs="宋体"/>
          <w:b/>
          <w:bCs/>
          <w:szCs w:val="21"/>
        </w:rPr>
      </w:pPr>
      <w:r>
        <w:rPr>
          <w:rFonts w:hint="eastAsia" w:ascii="宋体" w:hAnsi="宋体" w:eastAsia="宋体" w:cs="宋体"/>
          <w:b/>
          <w:bCs/>
          <w:szCs w:val="21"/>
        </w:rPr>
        <w:t>16、投标有效期</w:t>
      </w:r>
    </w:p>
    <w:p w14:paraId="16BB24D4">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16.1投标有效期从提交投标文件的截止之日起算。投标文件中承诺的投标有效期应当不少于</w:t>
      </w:r>
      <w:r>
        <w:rPr>
          <w:rFonts w:hint="eastAsia" w:ascii="宋体" w:hAnsi="宋体" w:eastAsia="宋体" w:cs="宋体"/>
          <w:b/>
          <w:bCs/>
          <w:szCs w:val="21"/>
        </w:rPr>
        <w:t>【投标须知前附表】</w:t>
      </w:r>
      <w:r>
        <w:rPr>
          <w:rFonts w:hint="eastAsia" w:ascii="宋体" w:hAnsi="宋体" w:eastAsia="宋体" w:cs="宋体"/>
          <w:szCs w:val="21"/>
        </w:rPr>
        <w:t>中载明的投标有效期。投标有效期不满足要求的，其</w:t>
      </w:r>
      <w:r>
        <w:rPr>
          <w:rFonts w:hint="eastAsia" w:ascii="宋体" w:hAnsi="宋体" w:eastAsia="宋体" w:cs="宋体"/>
          <w:b/>
          <w:bCs/>
          <w:szCs w:val="21"/>
        </w:rPr>
        <w:t>投标无效</w:t>
      </w:r>
      <w:r>
        <w:rPr>
          <w:rFonts w:hint="eastAsia" w:ascii="宋体" w:hAnsi="宋体" w:eastAsia="宋体" w:cs="宋体"/>
          <w:szCs w:val="21"/>
        </w:rPr>
        <w:t>。</w:t>
      </w:r>
    </w:p>
    <w:p w14:paraId="2480A751">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16.2投标有效期内投标人撤销投标文件的，投标人应承担招标文件和法律规定的责任。</w:t>
      </w:r>
    </w:p>
    <w:p w14:paraId="769FA125">
      <w:pPr>
        <w:adjustRightInd w:val="0"/>
        <w:snapToGrid w:val="0"/>
        <w:spacing w:before="161" w:beforeLines="50" w:line="360" w:lineRule="auto"/>
        <w:jc w:val="left"/>
        <w:rPr>
          <w:rFonts w:hint="eastAsia" w:ascii="宋体" w:hAnsi="宋体" w:eastAsia="宋体" w:cs="宋体"/>
          <w:b/>
          <w:bCs/>
          <w:szCs w:val="21"/>
        </w:rPr>
      </w:pPr>
      <w:r>
        <w:rPr>
          <w:rFonts w:hint="eastAsia" w:ascii="宋体" w:hAnsi="宋体" w:eastAsia="宋体" w:cs="宋体"/>
          <w:b/>
          <w:bCs/>
          <w:szCs w:val="21"/>
        </w:rPr>
        <w:t>17、投标保证金</w:t>
      </w:r>
    </w:p>
    <w:p w14:paraId="64F5F6A9">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17.1招标文件要求投标人提交投标保证金的，投标人应按</w:t>
      </w:r>
      <w:r>
        <w:rPr>
          <w:rFonts w:hint="eastAsia" w:ascii="宋体" w:hAnsi="宋体" w:eastAsia="宋体" w:cs="宋体"/>
          <w:b/>
          <w:bCs/>
          <w:szCs w:val="21"/>
        </w:rPr>
        <w:t>【投标须知前附表】</w:t>
      </w:r>
      <w:r>
        <w:rPr>
          <w:rFonts w:hint="eastAsia" w:ascii="宋体" w:hAnsi="宋体" w:eastAsia="宋体" w:cs="宋体"/>
          <w:szCs w:val="21"/>
        </w:rPr>
        <w:t>规定，在提交投标文件的截止时间前提交投标保证金。</w:t>
      </w:r>
    </w:p>
    <w:p w14:paraId="4B0492BA">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17.2联合体投标的，可以由联合体中的一方或者共同提交投标保证金。以一方名义提交投标保证金的，对联合体各方均具有约束力。</w:t>
      </w:r>
    </w:p>
    <w:p w14:paraId="097DC18A">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17.3投标保证金的退还按以下规定办理：</w:t>
      </w:r>
    </w:p>
    <w:p w14:paraId="3876880D">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（1）中标投标人的投标保证金，将在政府采购合同签订后 5 个工作日内退还。</w:t>
      </w:r>
    </w:p>
    <w:p w14:paraId="364E280D">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（2）未中标的投标人的投标保证金，将在中标通知书发出后 5 个工作日内退还。</w:t>
      </w:r>
    </w:p>
    <w:p w14:paraId="6F633F94">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（3）终止招标的。对于已递交投标保证金的，采购人、采购代理机构在终止招标公告发布后 5 个工作日内退还。</w:t>
      </w:r>
    </w:p>
    <w:p w14:paraId="4D8B0E32">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（4）在投标截止日前撤回投标的，对于已递交投标保证金的，采购人、采购代理机构在收到投标人书面撤回投标通知之日起 5 个工作日内退还。</w:t>
      </w:r>
    </w:p>
    <w:p w14:paraId="6AAC70B3">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17.4有以下情形之一的，投标保证金将不予退还，上交国库：</w:t>
      </w:r>
    </w:p>
    <w:p w14:paraId="746C6960">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（1）投标人在招标文件中规定的投标有效期内撤销其投标；</w:t>
      </w:r>
    </w:p>
    <w:p w14:paraId="7E138CB8">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（2）中标人无正当理由不与采购人订立合同，在签订合同时向采购人提出附加条件，或者不按照招标文件要求提交履约保证金。</w:t>
      </w:r>
    </w:p>
    <w:p w14:paraId="4F0A70FE">
      <w:pPr>
        <w:adjustRightInd w:val="0"/>
        <w:snapToGrid w:val="0"/>
        <w:spacing w:before="161" w:beforeLines="50" w:line="360" w:lineRule="auto"/>
        <w:jc w:val="left"/>
        <w:rPr>
          <w:rFonts w:hint="eastAsia" w:ascii="宋体" w:hAnsi="宋体" w:eastAsia="宋体" w:cs="宋体"/>
          <w:b/>
          <w:bCs/>
          <w:szCs w:val="21"/>
        </w:rPr>
      </w:pPr>
      <w:r>
        <w:rPr>
          <w:rFonts w:hint="eastAsia" w:ascii="宋体" w:hAnsi="宋体" w:eastAsia="宋体" w:cs="宋体"/>
          <w:b/>
          <w:bCs/>
          <w:szCs w:val="21"/>
        </w:rPr>
        <w:t>18、分包</w:t>
      </w:r>
    </w:p>
    <w:p w14:paraId="5E9DADBE">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18.1</w:t>
      </w:r>
      <w:r>
        <w:rPr>
          <w:rFonts w:hint="eastAsia" w:ascii="宋体" w:hAnsi="宋体" w:eastAsia="宋体" w:cs="宋体"/>
          <w:b/>
          <w:bCs/>
          <w:szCs w:val="21"/>
        </w:rPr>
        <w:t>【投标须知前附表】</w:t>
      </w:r>
      <w:r>
        <w:rPr>
          <w:rFonts w:hint="eastAsia" w:ascii="宋体" w:hAnsi="宋体" w:eastAsia="宋体" w:cs="宋体"/>
          <w:szCs w:val="21"/>
        </w:rPr>
        <w:t>规定投标人分包的，投标人分包承诺不符合招标文件中有关分包规定的，其</w:t>
      </w:r>
      <w:r>
        <w:rPr>
          <w:rFonts w:hint="eastAsia" w:ascii="宋体" w:hAnsi="宋体" w:eastAsia="宋体" w:cs="宋体"/>
          <w:b/>
          <w:bCs/>
          <w:szCs w:val="21"/>
        </w:rPr>
        <w:t>投标无效</w:t>
      </w:r>
      <w:r>
        <w:rPr>
          <w:rFonts w:hint="eastAsia" w:ascii="宋体" w:hAnsi="宋体" w:eastAsia="宋体" w:cs="宋体"/>
          <w:szCs w:val="21"/>
        </w:rPr>
        <w:t>。</w:t>
      </w:r>
    </w:p>
    <w:p w14:paraId="621F3A52">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18.2投标人应在签订政府采购合同前向采购人提供分包合同，否则，采购人有权拒绝签订采购合同。</w:t>
      </w:r>
    </w:p>
    <w:p w14:paraId="630D55FF">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18.3享受中小企业扶持政策获得政府采购合同的，小微企业不得将合同分包给大中型企业，中型企业不得将合同分包给大型企业。</w:t>
      </w:r>
    </w:p>
    <w:p w14:paraId="11A8FB4B">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18.4分包供应商不得再次分包。</w:t>
      </w:r>
    </w:p>
    <w:p w14:paraId="1ABD360E">
      <w:pPr>
        <w:adjustRightInd w:val="0"/>
        <w:snapToGrid w:val="0"/>
        <w:spacing w:before="161" w:beforeLines="50" w:line="360" w:lineRule="auto"/>
        <w:jc w:val="left"/>
        <w:rPr>
          <w:rFonts w:hint="eastAsia" w:ascii="宋体" w:hAnsi="宋体" w:eastAsia="宋体" w:cs="宋体"/>
          <w:b/>
          <w:bCs/>
          <w:szCs w:val="21"/>
        </w:rPr>
      </w:pPr>
      <w:r>
        <w:rPr>
          <w:rFonts w:hint="eastAsia" w:ascii="宋体" w:hAnsi="宋体" w:eastAsia="宋体" w:cs="宋体"/>
          <w:b/>
          <w:bCs/>
          <w:szCs w:val="21"/>
        </w:rPr>
        <w:t>19、投标文件的制作和签署</w:t>
      </w:r>
    </w:p>
    <w:p w14:paraId="67CF6756">
      <w:pPr>
        <w:adjustRightInd w:val="0"/>
        <w:snapToGrid w:val="0"/>
        <w:spacing w:before="161" w:beforeLines="50" w:line="360" w:lineRule="auto"/>
        <w:ind w:firstLine="420" w:firstLineChars="200"/>
        <w:jc w:val="left"/>
        <w:rPr>
          <w:rFonts w:hint="eastAsia" w:ascii="宋体" w:hAnsi="宋体" w:eastAsia="宋体" w:cs="宋体"/>
          <w:szCs w:val="21"/>
        </w:rPr>
      </w:pPr>
      <w:bookmarkStart w:id="37" w:name="_bookmark7"/>
      <w:bookmarkEnd w:id="37"/>
      <w:r>
        <w:rPr>
          <w:rFonts w:hint="eastAsia" w:ascii="宋体" w:hAnsi="宋体" w:eastAsia="宋体" w:cs="宋体"/>
          <w:szCs w:val="21"/>
        </w:rPr>
        <w:t>19.1投标文件份数见</w:t>
      </w:r>
      <w:r>
        <w:rPr>
          <w:rFonts w:hint="eastAsia" w:ascii="宋体" w:hAnsi="宋体" w:eastAsia="宋体" w:cs="宋体"/>
          <w:b/>
          <w:bCs/>
          <w:szCs w:val="21"/>
        </w:rPr>
        <w:t>【投标须知前附表】</w:t>
      </w:r>
      <w:r>
        <w:rPr>
          <w:rFonts w:hint="eastAsia" w:ascii="宋体" w:hAnsi="宋体" w:eastAsia="宋体" w:cs="宋体"/>
          <w:szCs w:val="21"/>
        </w:rPr>
        <w:t>。</w:t>
      </w:r>
    </w:p>
    <w:p w14:paraId="1ABC4D8C">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19.2投标文件的签署要求：</w:t>
      </w:r>
    </w:p>
    <w:p w14:paraId="44F7BEA3">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（1）投标人确认投标后，应从株洲市公共资源交易系统上下载“电子投标文件制作工具”，并使用此工具编制电子投标文件，否则将影响电子投标文件的上传而导致</w:t>
      </w:r>
      <w:r>
        <w:rPr>
          <w:rFonts w:hint="eastAsia" w:ascii="宋体" w:hAnsi="宋体" w:eastAsia="宋体" w:cs="宋体"/>
          <w:b/>
          <w:bCs/>
          <w:szCs w:val="21"/>
        </w:rPr>
        <w:t>投标无效</w:t>
      </w:r>
      <w:r>
        <w:rPr>
          <w:rFonts w:hint="eastAsia" w:ascii="宋体" w:hAnsi="宋体" w:eastAsia="宋体" w:cs="宋体"/>
          <w:szCs w:val="21"/>
        </w:rPr>
        <w:t>。</w:t>
      </w:r>
    </w:p>
    <w:p w14:paraId="6F5957B1">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（2）投标人应按照电子招标文件要求制作投标文件，并进行电子签章。</w:t>
      </w:r>
    </w:p>
    <w:p w14:paraId="51861165">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（3）投标人因自身原因导致电子投标文件无法导入电子评标系统的，该投标文件视为无效投标文件。</w:t>
      </w:r>
    </w:p>
    <w:p w14:paraId="1F561F58">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（4）电子招投标文件具有法律效力，若投标文件与招标文件要求不一致，其内容影响中标结果时，责任由投标人自行承担。</w:t>
      </w:r>
    </w:p>
    <w:p w14:paraId="45FD29AB">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（5）电子投标项目的投标文件均以上传至交易系统的电子投标文件为准。</w:t>
      </w:r>
    </w:p>
    <w:p w14:paraId="1C344F87">
      <w:pPr>
        <w:keepNext w:val="0"/>
        <w:keepLines w:val="0"/>
        <w:widowControl w:val="0"/>
        <w:adjustRightInd w:val="0"/>
        <w:snapToGrid w:val="0"/>
        <w:spacing w:before="161" w:beforeLines="50" w:after="0" w:line="360" w:lineRule="auto"/>
        <w:jc w:val="center"/>
        <w:outlineLvl w:val="2"/>
        <w:rPr>
          <w:rFonts w:hint="eastAsia" w:ascii="宋体" w:hAnsi="宋体" w:eastAsia="宋体" w:cs="宋体"/>
          <w:b/>
          <w:bCs/>
          <w:kern w:val="2"/>
          <w:sz w:val="28"/>
          <w:szCs w:val="28"/>
          <w:lang w:val="en-US" w:eastAsia="zh-CN" w:bidi="ar-SA"/>
        </w:rPr>
      </w:pPr>
      <w:bookmarkStart w:id="38" w:name="_Toc10725"/>
      <w:r>
        <w:rPr>
          <w:rFonts w:hint="eastAsia" w:ascii="宋体" w:hAnsi="宋体" w:eastAsia="宋体" w:cs="宋体"/>
          <w:b/>
          <w:bCs/>
          <w:kern w:val="2"/>
          <w:sz w:val="28"/>
          <w:szCs w:val="28"/>
          <w:lang w:val="en-US" w:eastAsia="zh-CN" w:bidi="ar-SA"/>
        </w:rPr>
        <w:t>四、投标</w:t>
      </w:r>
      <w:bookmarkEnd w:id="38"/>
    </w:p>
    <w:p w14:paraId="1DDBAFAF">
      <w:pPr>
        <w:adjustRightInd w:val="0"/>
        <w:snapToGrid w:val="0"/>
        <w:spacing w:before="161" w:beforeLines="50" w:line="360" w:lineRule="auto"/>
        <w:jc w:val="left"/>
        <w:rPr>
          <w:rFonts w:hint="eastAsia" w:ascii="宋体" w:hAnsi="宋体" w:eastAsia="宋体" w:cs="宋体"/>
          <w:szCs w:val="21"/>
        </w:rPr>
      </w:pPr>
      <w:r>
        <w:rPr>
          <w:rFonts w:hint="eastAsia" w:ascii="宋体" w:hAnsi="宋体" w:eastAsia="宋体" w:cs="宋体"/>
          <w:b/>
          <w:bCs/>
          <w:szCs w:val="21"/>
        </w:rPr>
        <w:t>20、投标文件的密封和标记</w:t>
      </w:r>
    </w:p>
    <w:p w14:paraId="0FEF848D">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20.1电子版投标文件的密封和标记要求：通过数字证书进行签章、加密。未按要求签章、加密的投标文件，系统将无法接收， 采购代理机构不予受理。</w:t>
      </w:r>
    </w:p>
    <w:p w14:paraId="72BCBCA2">
      <w:pPr>
        <w:adjustRightInd w:val="0"/>
        <w:snapToGrid w:val="0"/>
        <w:spacing w:before="161" w:beforeLines="50" w:line="360" w:lineRule="auto"/>
        <w:jc w:val="left"/>
        <w:rPr>
          <w:rFonts w:hint="eastAsia" w:ascii="宋体" w:hAnsi="宋体" w:eastAsia="宋体" w:cs="宋体"/>
          <w:b/>
          <w:bCs/>
          <w:szCs w:val="21"/>
        </w:rPr>
      </w:pPr>
      <w:r>
        <w:rPr>
          <w:rFonts w:hint="eastAsia" w:ascii="宋体" w:hAnsi="宋体" w:eastAsia="宋体" w:cs="宋体"/>
          <w:b/>
          <w:bCs/>
          <w:szCs w:val="21"/>
        </w:rPr>
        <w:t>21、投标截止期</w:t>
      </w:r>
    </w:p>
    <w:p w14:paraId="4D9D8185">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21.1投标人应在</w:t>
      </w:r>
      <w:r>
        <w:rPr>
          <w:rFonts w:hint="eastAsia" w:ascii="宋体" w:hAnsi="宋体" w:eastAsia="宋体" w:cs="宋体"/>
          <w:b/>
          <w:bCs/>
          <w:szCs w:val="21"/>
        </w:rPr>
        <w:t>【投标须知前附表】</w:t>
      </w:r>
      <w:r>
        <w:rPr>
          <w:rFonts w:hint="eastAsia" w:ascii="宋体" w:hAnsi="宋体" w:eastAsia="宋体" w:cs="宋体"/>
          <w:szCs w:val="21"/>
        </w:rPr>
        <w:t>规定的投标截止时间前将电子版投标文件加密上传。</w:t>
      </w:r>
    </w:p>
    <w:p w14:paraId="2E7EB019">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21.2逾期上传的投标文件，以及未通过资格预审的申请人提交的投标文件（实行资格预审的），采购人、采购代理机构</w:t>
      </w:r>
      <w:r>
        <w:rPr>
          <w:rFonts w:hint="eastAsia" w:ascii="宋体" w:hAnsi="宋体" w:eastAsia="宋体" w:cs="宋体"/>
          <w:b/>
          <w:bCs/>
          <w:szCs w:val="21"/>
        </w:rPr>
        <w:t>应当拒收</w:t>
      </w:r>
      <w:r>
        <w:rPr>
          <w:rFonts w:hint="eastAsia" w:ascii="宋体" w:hAnsi="宋体" w:eastAsia="宋体" w:cs="宋体"/>
          <w:szCs w:val="21"/>
        </w:rPr>
        <w:t>。</w:t>
      </w:r>
    </w:p>
    <w:p w14:paraId="4D366E52">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21.3投标文件的递交</w:t>
      </w:r>
    </w:p>
    <w:p w14:paraId="3C332551">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（1）投标人应在招标文件规定的投标截止时间前将电子投标文件上传到交易系统的指定栏目。逾期不予受理。</w:t>
      </w:r>
    </w:p>
    <w:p w14:paraId="112B72FD">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（2）如遇系统提示“上传未成功”，投标人应及时重新修改文件或与系统运维机构联系，查明原因，确保上传无误，因自身原因导致不能上传的，由投标人自行承担责任。</w:t>
      </w:r>
    </w:p>
    <w:p w14:paraId="4AE7103A">
      <w:pPr>
        <w:adjustRightInd w:val="0"/>
        <w:snapToGrid w:val="0"/>
        <w:spacing w:before="161" w:beforeLines="50" w:line="360" w:lineRule="auto"/>
        <w:jc w:val="left"/>
        <w:rPr>
          <w:rFonts w:hint="eastAsia" w:ascii="宋体" w:hAnsi="宋体" w:eastAsia="宋体" w:cs="宋体"/>
          <w:b/>
          <w:bCs/>
          <w:szCs w:val="21"/>
        </w:rPr>
      </w:pPr>
      <w:r>
        <w:rPr>
          <w:rFonts w:hint="eastAsia" w:ascii="宋体" w:hAnsi="宋体" w:eastAsia="宋体" w:cs="宋体"/>
          <w:b/>
          <w:bCs/>
          <w:szCs w:val="21"/>
        </w:rPr>
        <w:t>22、投标文件的修改和撤回</w:t>
      </w:r>
    </w:p>
    <w:p w14:paraId="1D666361">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22.1投标人在招标文件规定的投标截止时间前，可以撤回已上传的投标文件，也可以撤回并修改后再重新上传。</w:t>
      </w:r>
    </w:p>
    <w:p w14:paraId="7BFF3FB3">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22.2投标人在提交投标文件的截止时间前撤回已提交的投标文件的，采购人、采购代理机构应当自收到投标人书面撤回通知之日起 5 个工作日内，退还已收取的投标保证金，但因投标人自身原因导致无法及时退还的除外。</w:t>
      </w:r>
    </w:p>
    <w:p w14:paraId="0A3BB077">
      <w:pPr>
        <w:adjustRightInd w:val="0"/>
        <w:snapToGrid w:val="0"/>
        <w:spacing w:before="161" w:beforeLines="50" w:line="360" w:lineRule="auto"/>
        <w:jc w:val="left"/>
        <w:rPr>
          <w:rFonts w:hint="eastAsia" w:ascii="宋体" w:hAnsi="宋体" w:eastAsia="宋体" w:cs="宋体"/>
          <w:b/>
          <w:bCs/>
          <w:szCs w:val="21"/>
        </w:rPr>
      </w:pPr>
      <w:r>
        <w:rPr>
          <w:rFonts w:hint="eastAsia" w:ascii="宋体" w:hAnsi="宋体" w:eastAsia="宋体" w:cs="宋体"/>
          <w:b/>
          <w:bCs/>
          <w:szCs w:val="21"/>
        </w:rPr>
        <w:t>23、串通投标行为</w:t>
      </w:r>
    </w:p>
    <w:p w14:paraId="2EED7137">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23.1有下列情形之一的，属于恶意串通，对投标人依照政府采购法第七十七条第一款的规定追究法律责任：</w:t>
      </w:r>
    </w:p>
    <w:p w14:paraId="661D165B">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（1）投标人直接或者间接从采购人或者采购代理机构处获得其他投标人的相关情况并修改其投标文件；</w:t>
      </w:r>
    </w:p>
    <w:p w14:paraId="04EF96ED">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（2）投标人按照采购人或者采购代理机构的授意撤换、修改投标文件；</w:t>
      </w:r>
    </w:p>
    <w:p w14:paraId="767DAADB">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（3）投标人之间协商报价、技术方案等投标文件的实质性内容；</w:t>
      </w:r>
    </w:p>
    <w:p w14:paraId="4E108C91">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（4）属于同一集团、协会、商会等组织成员的投标人按照该组织要求协同参加政府采购活动；</w:t>
      </w:r>
    </w:p>
    <w:p w14:paraId="6BED7E00">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（5）投标人之间事先约定由某一特定投标人中标；</w:t>
      </w:r>
    </w:p>
    <w:p w14:paraId="1107B259">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（6）投标人之间商定部分投标人放弃参加政府采购活动或者放弃中标；</w:t>
      </w:r>
    </w:p>
    <w:p w14:paraId="6F51CCFB">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（7）投标人与采购人或者采购代理机构之间、投标人相互之间，为谋求特定投标人中标或者排斥其他投标人的其他串通行为。</w:t>
      </w:r>
    </w:p>
    <w:p w14:paraId="3031B26B">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23.2有下列情形之一的，视为投标人串通投标，其</w:t>
      </w:r>
      <w:r>
        <w:rPr>
          <w:rFonts w:hint="eastAsia" w:ascii="宋体" w:hAnsi="宋体" w:eastAsia="宋体" w:cs="宋体"/>
          <w:b/>
          <w:bCs/>
          <w:szCs w:val="21"/>
        </w:rPr>
        <w:t>投标无效</w:t>
      </w:r>
      <w:r>
        <w:rPr>
          <w:rFonts w:hint="eastAsia" w:ascii="宋体" w:hAnsi="宋体" w:eastAsia="宋体" w:cs="宋体"/>
          <w:szCs w:val="21"/>
        </w:rPr>
        <w:t>：</w:t>
      </w:r>
    </w:p>
    <w:p w14:paraId="7D9688CF">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（1）不同投标人的投标文件由同一单位或者个人编制；</w:t>
      </w:r>
    </w:p>
    <w:p w14:paraId="130B7A84">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（2）不同投标人委托同一单位或者个人办理投标事宜；</w:t>
      </w:r>
    </w:p>
    <w:p w14:paraId="3A67E39C">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（3）不同投标人的投标文件载明的项目管理成员或者联系人员为同一人；</w:t>
      </w:r>
    </w:p>
    <w:p w14:paraId="3E93A05A">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（4）不同投标人的投标文件异常一致或者投标报价呈规律性差异；</w:t>
      </w:r>
    </w:p>
    <w:p w14:paraId="407B7DE1">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（5）不同投标人的投标文件相互混装；</w:t>
      </w:r>
    </w:p>
    <w:p w14:paraId="5C98EAC4">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（6）不同投标人的投标保证金从同一单位或者个人的账户转出。</w:t>
      </w:r>
    </w:p>
    <w:p w14:paraId="71734CB9">
      <w:pPr>
        <w:keepNext/>
        <w:keepLines/>
        <w:widowControl w:val="0"/>
        <w:adjustRightInd w:val="0"/>
        <w:snapToGrid w:val="0"/>
        <w:spacing w:before="161" w:beforeLines="50" w:after="0" w:line="360" w:lineRule="auto"/>
        <w:jc w:val="center"/>
        <w:outlineLvl w:val="2"/>
        <w:rPr>
          <w:rFonts w:hint="eastAsia" w:ascii="宋体" w:hAnsi="宋体" w:eastAsia="宋体" w:cs="宋体"/>
          <w:b/>
          <w:bCs/>
          <w:kern w:val="2"/>
          <w:sz w:val="28"/>
          <w:szCs w:val="28"/>
          <w:lang w:val="en-US" w:eastAsia="zh-CN" w:bidi="ar-SA"/>
        </w:rPr>
      </w:pPr>
      <w:bookmarkStart w:id="39" w:name="_Toc25691"/>
      <w:r>
        <w:rPr>
          <w:rFonts w:hint="eastAsia" w:ascii="宋体" w:hAnsi="宋体" w:eastAsia="宋体" w:cs="宋体"/>
          <w:b/>
          <w:bCs/>
          <w:kern w:val="2"/>
          <w:sz w:val="28"/>
          <w:szCs w:val="28"/>
          <w:lang w:val="en-US" w:eastAsia="zh-CN" w:bidi="ar-SA"/>
        </w:rPr>
        <w:t>五、开标，资格审查和评标</w:t>
      </w:r>
      <w:bookmarkEnd w:id="39"/>
    </w:p>
    <w:p w14:paraId="6F534825">
      <w:pPr>
        <w:adjustRightInd w:val="0"/>
        <w:snapToGrid w:val="0"/>
        <w:spacing w:before="161" w:beforeLines="50" w:line="360" w:lineRule="auto"/>
        <w:jc w:val="left"/>
        <w:rPr>
          <w:rFonts w:hint="eastAsia" w:ascii="宋体" w:hAnsi="宋体" w:eastAsia="宋体" w:cs="Times New Roman"/>
          <w:b/>
          <w:bCs/>
          <w:sz w:val="24"/>
        </w:rPr>
      </w:pPr>
      <w:bookmarkStart w:id="40" w:name="_Toc22872"/>
      <w:r>
        <w:rPr>
          <w:rFonts w:hint="eastAsia" w:ascii="宋体" w:hAnsi="宋体" w:eastAsia="宋体" w:cs="Times New Roman"/>
          <w:b/>
          <w:bCs/>
          <w:sz w:val="24"/>
        </w:rPr>
        <w:t>24. 开标</w:t>
      </w:r>
    </w:p>
    <w:p w14:paraId="6903A5DB">
      <w:pPr>
        <w:snapToGrid w:val="0"/>
        <w:spacing w:before="156" w:line="360" w:lineRule="auto"/>
        <w:ind w:firstLine="420" w:firstLineChars="200"/>
        <w:jc w:val="left"/>
        <w:textAlignment w:val="baseline"/>
        <w:rPr>
          <w:rFonts w:hint="eastAsia" w:ascii="宋体" w:hAnsi="宋体" w:eastAsia="宋体" w:cs="Times New Roman"/>
          <w:szCs w:val="21"/>
        </w:rPr>
      </w:pPr>
      <w:r>
        <w:rPr>
          <w:rFonts w:hint="eastAsia" w:ascii="宋体" w:hAnsi="宋体" w:eastAsia="宋体" w:cs="宋体"/>
        </w:rPr>
        <w:t>24.1采购人、采购代理机构在</w:t>
      </w:r>
      <w:r>
        <w:rPr>
          <w:rFonts w:hint="eastAsia" w:ascii="宋体" w:hAnsi="宋体" w:eastAsia="宋体" w:cs="宋体"/>
          <w:b/>
          <w:bCs/>
        </w:rPr>
        <w:t>【投标须知前附表】</w:t>
      </w:r>
      <w:r>
        <w:rPr>
          <w:rFonts w:hint="eastAsia" w:ascii="宋体" w:hAnsi="宋体" w:eastAsia="宋体" w:cs="宋体"/>
        </w:rPr>
        <w:t>规定的开标地点组织开标，投标人通过网上开标系统参加开标会，投标人无需到开标现场，请投标人自行配置好解密电脑和软件环境，在规定时间内使用制作投标文件时的 CA 锁登录“网上开标大厅”解密投标文件（请仔细阅读株洲市公共资源交易平台发布的《投标人不见面开标操作手册》）。</w:t>
      </w:r>
    </w:p>
    <w:p w14:paraId="4BFEAA7C">
      <w:pPr>
        <w:snapToGrid w:val="0"/>
        <w:spacing w:before="156" w:line="360" w:lineRule="auto"/>
        <w:ind w:firstLine="420" w:firstLineChars="200"/>
        <w:jc w:val="left"/>
        <w:textAlignment w:val="baseline"/>
        <w:rPr>
          <w:rFonts w:hint="eastAsia" w:ascii="宋体" w:hAnsi="宋体" w:eastAsia="宋体" w:cs="Times New Roman"/>
          <w:szCs w:val="21"/>
        </w:rPr>
      </w:pPr>
      <w:r>
        <w:rPr>
          <w:rFonts w:ascii="宋体" w:hAnsi="宋体" w:eastAsia="宋体" w:cs="Times New Roman"/>
          <w:szCs w:val="21"/>
        </w:rPr>
        <w:t>24.2开标时，出现下列情形之一的，采购代理机构不予受理，不得进入评标：</w:t>
      </w:r>
    </w:p>
    <w:p w14:paraId="03DF2E6B">
      <w:pPr>
        <w:snapToGrid w:val="0"/>
        <w:spacing w:before="156" w:line="360" w:lineRule="auto"/>
        <w:ind w:firstLine="420" w:firstLineChars="200"/>
        <w:jc w:val="left"/>
        <w:textAlignment w:val="baseline"/>
        <w:rPr>
          <w:rFonts w:hint="eastAsia" w:ascii="宋体" w:hAnsi="宋体" w:eastAsia="宋体" w:cs="Times New Roman"/>
          <w:szCs w:val="21"/>
        </w:rPr>
      </w:pPr>
      <w:r>
        <w:rPr>
          <w:rFonts w:ascii="宋体" w:hAnsi="宋体" w:eastAsia="宋体" w:cs="Times New Roman"/>
          <w:szCs w:val="21"/>
        </w:rPr>
        <w:t>（1）经检查数字证书无效的电子投标文件；</w:t>
      </w:r>
    </w:p>
    <w:p w14:paraId="24046A68">
      <w:pPr>
        <w:snapToGrid w:val="0"/>
        <w:spacing w:before="156" w:line="360" w:lineRule="auto"/>
        <w:ind w:firstLine="420" w:firstLineChars="200"/>
        <w:jc w:val="left"/>
        <w:textAlignment w:val="baseline"/>
        <w:rPr>
          <w:rFonts w:hint="eastAsia" w:ascii="宋体" w:hAnsi="宋体" w:eastAsia="宋体" w:cs="Times New Roman"/>
          <w:szCs w:val="21"/>
        </w:rPr>
      </w:pPr>
      <w:r>
        <w:rPr>
          <w:rFonts w:ascii="宋体" w:hAnsi="宋体" w:eastAsia="宋体" w:cs="Times New Roman"/>
          <w:szCs w:val="21"/>
        </w:rPr>
        <w:t>（2）电子投标文件未按要求上传至交易平台的；</w:t>
      </w:r>
    </w:p>
    <w:p w14:paraId="5872DFB6">
      <w:pPr>
        <w:snapToGrid w:val="0"/>
        <w:spacing w:before="156" w:line="360" w:lineRule="auto"/>
        <w:ind w:firstLine="420" w:firstLineChars="200"/>
        <w:jc w:val="left"/>
        <w:textAlignment w:val="baseline"/>
        <w:rPr>
          <w:rFonts w:hint="eastAsia" w:ascii="宋体" w:hAnsi="宋体" w:eastAsia="宋体" w:cs="Times New Roman"/>
          <w:szCs w:val="21"/>
        </w:rPr>
      </w:pPr>
      <w:r>
        <w:rPr>
          <w:rFonts w:ascii="宋体" w:hAnsi="宋体" w:eastAsia="宋体" w:cs="Times New Roman"/>
          <w:szCs w:val="21"/>
        </w:rPr>
        <w:t>（3）投标人未按照规定的时间解密电子投标文件的；</w:t>
      </w:r>
    </w:p>
    <w:p w14:paraId="49FD3158">
      <w:pPr>
        <w:snapToGrid w:val="0"/>
        <w:spacing w:before="156" w:line="360" w:lineRule="auto"/>
        <w:ind w:firstLine="420" w:firstLineChars="200"/>
        <w:jc w:val="left"/>
        <w:textAlignment w:val="baseline"/>
        <w:rPr>
          <w:rFonts w:hint="eastAsia" w:ascii="宋体" w:hAnsi="宋体" w:eastAsia="宋体" w:cs="Times New Roman"/>
          <w:szCs w:val="21"/>
        </w:rPr>
      </w:pPr>
      <w:r>
        <w:rPr>
          <w:rFonts w:ascii="宋体" w:hAnsi="宋体" w:eastAsia="宋体" w:cs="Times New Roman"/>
          <w:szCs w:val="21"/>
        </w:rPr>
        <w:t>（4）其它违反法律、法规的情形。</w:t>
      </w:r>
    </w:p>
    <w:p w14:paraId="115AC9D9">
      <w:pPr>
        <w:snapToGrid w:val="0"/>
        <w:spacing w:before="158" w:line="360" w:lineRule="auto"/>
        <w:ind w:firstLine="420" w:firstLineChars="200"/>
        <w:jc w:val="left"/>
        <w:textAlignment w:val="baseline"/>
        <w:rPr>
          <w:rFonts w:hint="eastAsia" w:ascii="宋体" w:hAnsi="宋体" w:eastAsia="宋体" w:cs="Times New Roman"/>
          <w:szCs w:val="21"/>
        </w:rPr>
      </w:pPr>
      <w:r>
        <w:rPr>
          <w:rFonts w:ascii="宋体" w:hAnsi="宋体" w:eastAsia="宋体" w:cs="Times New Roman"/>
          <w:szCs w:val="21"/>
        </w:rPr>
        <w:t>24.3开标程序。采购代理机构在规定的时间内，按下列程序进行开标：</w:t>
      </w:r>
    </w:p>
    <w:p w14:paraId="62FE4B3E">
      <w:pPr>
        <w:snapToGrid w:val="0"/>
        <w:spacing w:before="158" w:line="360" w:lineRule="auto"/>
        <w:ind w:firstLine="420" w:firstLineChars="200"/>
        <w:jc w:val="left"/>
        <w:textAlignment w:val="baseline"/>
        <w:rPr>
          <w:rFonts w:hint="eastAsia" w:ascii="宋体" w:hAnsi="宋体" w:eastAsia="宋体" w:cs="Times New Roman"/>
          <w:szCs w:val="21"/>
        </w:rPr>
      </w:pPr>
      <w:r>
        <w:rPr>
          <w:rFonts w:ascii="宋体" w:hAnsi="宋体" w:eastAsia="宋体" w:cs="Times New Roman"/>
          <w:szCs w:val="21"/>
        </w:rPr>
        <w:t>（1）公布投标人名称；</w:t>
      </w:r>
    </w:p>
    <w:p w14:paraId="50997951">
      <w:pPr>
        <w:snapToGrid w:val="0"/>
        <w:spacing w:before="158" w:line="360" w:lineRule="auto"/>
        <w:ind w:firstLine="420" w:firstLineChars="200"/>
        <w:jc w:val="left"/>
        <w:textAlignment w:val="baseline"/>
        <w:rPr>
          <w:rFonts w:hint="eastAsia" w:ascii="宋体" w:hAnsi="宋体" w:eastAsia="宋体" w:cs="Times New Roman"/>
          <w:szCs w:val="21"/>
        </w:rPr>
      </w:pPr>
      <w:r>
        <w:rPr>
          <w:rFonts w:ascii="宋体" w:hAnsi="宋体" w:eastAsia="宋体" w:cs="Times New Roman"/>
          <w:szCs w:val="21"/>
        </w:rPr>
        <w:t>（2）检查投标保证金缴纳情况；</w:t>
      </w:r>
    </w:p>
    <w:p w14:paraId="2ACFF291">
      <w:pPr>
        <w:snapToGrid w:val="0"/>
        <w:spacing w:before="158" w:line="360" w:lineRule="auto"/>
        <w:ind w:firstLine="420" w:firstLineChars="200"/>
        <w:jc w:val="left"/>
        <w:textAlignment w:val="baseline"/>
        <w:rPr>
          <w:rFonts w:hint="eastAsia" w:ascii="宋体" w:hAnsi="宋体" w:eastAsia="宋体" w:cs="Times New Roman"/>
          <w:szCs w:val="21"/>
        </w:rPr>
      </w:pPr>
      <w:r>
        <w:rPr>
          <w:rFonts w:ascii="宋体" w:hAnsi="宋体" w:eastAsia="宋体" w:cs="Times New Roman"/>
          <w:szCs w:val="21"/>
        </w:rPr>
        <w:t>（3）解密投标文件：从投标截止时间起</w:t>
      </w:r>
      <w:r>
        <w:rPr>
          <w:rFonts w:hint="eastAsia" w:ascii="宋体" w:hAnsi="宋体" w:eastAsia="宋体" w:cs="Times New Roman"/>
          <w:szCs w:val="21"/>
        </w:rPr>
        <w:t>60分钟</w:t>
      </w:r>
      <w:r>
        <w:rPr>
          <w:rFonts w:ascii="宋体" w:hAnsi="宋体" w:eastAsia="宋体" w:cs="Times New Roman"/>
          <w:szCs w:val="21"/>
        </w:rPr>
        <w:t>内完成。由于投标人自身原因导致投标文件在解密时限内未解密或解密失败的，视为撤销其投标文件，开标继续进行。投标人不足3家的，不得开标。</w:t>
      </w:r>
    </w:p>
    <w:p w14:paraId="06996BDD">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（4）唱标：以《开标一览表》为准，未提供的按无效投标处理。所有有效投标人可以在线及时查看、下载生成的《开标记录表》；</w:t>
      </w:r>
    </w:p>
    <w:p w14:paraId="46CB9FD4">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（5）投标人通过电子开标系统在开标记录上确认，未及时确认的系统将默认为确认。</w:t>
      </w:r>
    </w:p>
    <w:p w14:paraId="0CBF57BE">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24.4开标时，由采购人、采购代理机构当众在线展示递交电子投标文件单位。投标人在线解密投标文件后，电子开标系统宣读投标人名称、投标价格和</w:t>
      </w:r>
      <w:r>
        <w:rPr>
          <w:rFonts w:hint="eastAsia" w:ascii="宋体" w:hAnsi="宋体" w:eastAsia="宋体" w:cs="宋体"/>
          <w:b/>
          <w:bCs/>
        </w:rPr>
        <w:t>【投标须知前附表】</w:t>
      </w:r>
      <w:r>
        <w:rPr>
          <w:rFonts w:hint="eastAsia" w:ascii="宋体" w:hAnsi="宋体" w:eastAsia="宋体" w:cs="宋体"/>
        </w:rPr>
        <w:t>规定需要宣布的其他内容。投标人不足3家的，不得开标。</w:t>
      </w:r>
    </w:p>
    <w:p w14:paraId="2395D1B1">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24.5投标人代表对开标过程和开标记录有疑义，以及认为采购人、采购代理机构相关工作人员有《政府采购法实施条例》第九条第一款需要回避的情形的，应在线提出询问或者回避申请。</w:t>
      </w:r>
    </w:p>
    <w:p w14:paraId="459A3995">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24.6采购人、采购代理机构对投标人代表在线提出的询问或者回避申请，按《政府采购法实施条例》有关规定及时处理。</w:t>
      </w:r>
    </w:p>
    <w:p w14:paraId="489FF181">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24.7开标时，出现下列情形之一的，视为投标人撤销其投标：</w:t>
      </w:r>
    </w:p>
    <w:p w14:paraId="3B00BCAD">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（1）投标人未按要求配置开标所需的软硬件设备，导致解密失败的；</w:t>
      </w:r>
    </w:p>
    <w:p w14:paraId="26531862">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（2）投标人电脑故障或无法上网，导致解密失败的；</w:t>
      </w:r>
    </w:p>
    <w:p w14:paraId="5CDB31C7">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（3）解密锁发生故障、失效、错误等，导致解密失败的；</w:t>
      </w:r>
    </w:p>
    <w:p w14:paraId="601198C0">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（4）解密时间超过规定时限的；</w:t>
      </w:r>
    </w:p>
    <w:p w14:paraId="1E1DE873">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（5）其他由于投标人自身原因导致解密失效的情形。</w:t>
      </w:r>
    </w:p>
    <w:p w14:paraId="7C6B506D">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24.8电子招投标的应急措施</w:t>
      </w:r>
    </w:p>
    <w:p w14:paraId="3BF95ED5">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电子开标、评标如出现下列情形，导致系统无法正常运行时，按交易中心应急预案措施执行：</w:t>
      </w:r>
    </w:p>
    <w:p w14:paraId="68B7E752">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（1）系统服务器发生故障，无法访问或无法使用系统；</w:t>
      </w:r>
    </w:p>
    <w:p w14:paraId="72321BBD">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（2）系统的软件或数据库出现错误，不能进行正常操作；</w:t>
      </w:r>
    </w:p>
    <w:p w14:paraId="075F1188">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（3）系统发现有安全漏洞，有潜在的泄密危险；</w:t>
      </w:r>
    </w:p>
    <w:p w14:paraId="65304939">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（4）病毒发作或受到外来病毒的攻击；</w:t>
      </w:r>
    </w:p>
    <w:p w14:paraId="0876001A">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（5）其他特殊情况。</w:t>
      </w:r>
    </w:p>
    <w:p w14:paraId="31EEAA9B">
      <w:pPr>
        <w:snapToGrid w:val="0"/>
        <w:spacing w:before="156" w:line="360" w:lineRule="auto"/>
        <w:ind w:firstLine="420" w:firstLineChars="200"/>
        <w:jc w:val="left"/>
        <w:textAlignment w:val="baseline"/>
        <w:rPr>
          <w:rFonts w:hint="eastAsia" w:ascii="宋体" w:hAnsi="宋体" w:eastAsia="宋体" w:cs="Times New Roman"/>
          <w:szCs w:val="21"/>
        </w:rPr>
      </w:pPr>
      <w:r>
        <w:rPr>
          <w:rFonts w:hint="eastAsia" w:ascii="宋体" w:hAnsi="宋体" w:eastAsia="宋体" w:cs="宋体"/>
        </w:rPr>
        <w:t>出现上述情况之一时，经交易中心相关部门确认：对未开标的暂停开标或作延期开标处理，待系统恢复后再进行开标活动；已在系统内评标的，评标委员会酌情延期进行评审，待系统恢复后再进行评审工作</w:t>
      </w:r>
      <w:r>
        <w:rPr>
          <w:rFonts w:ascii="宋体" w:hAnsi="宋体" w:eastAsia="宋体" w:cs="Times New Roman"/>
          <w:szCs w:val="21"/>
        </w:rPr>
        <w:t>。</w:t>
      </w:r>
    </w:p>
    <w:p w14:paraId="2C13C8E3">
      <w:pPr>
        <w:adjustRightInd w:val="0"/>
        <w:snapToGrid w:val="0"/>
        <w:spacing w:before="161" w:beforeLines="50" w:line="360" w:lineRule="auto"/>
        <w:jc w:val="left"/>
        <w:rPr>
          <w:rFonts w:hint="eastAsia" w:ascii="宋体" w:hAnsi="宋体" w:eastAsia="宋体" w:cs="Times New Roman"/>
          <w:b/>
          <w:sz w:val="24"/>
        </w:rPr>
      </w:pPr>
      <w:r>
        <w:rPr>
          <w:rFonts w:hint="eastAsia" w:ascii="宋体" w:hAnsi="宋体" w:eastAsia="宋体" w:cs="Arial"/>
          <w:b/>
          <w:bCs/>
          <w:sz w:val="24"/>
        </w:rPr>
        <w:t>25.</w:t>
      </w:r>
      <w:r>
        <w:rPr>
          <w:rFonts w:hint="eastAsia" w:ascii="宋体" w:hAnsi="宋体" w:eastAsia="宋体" w:cs="Times New Roman"/>
          <w:b/>
          <w:sz w:val="24"/>
        </w:rPr>
        <w:t xml:space="preserve"> 资格审查</w:t>
      </w:r>
    </w:p>
    <w:p w14:paraId="0E0E785F">
      <w:pPr>
        <w:adjustRightInd w:val="0"/>
        <w:snapToGrid w:val="0"/>
        <w:spacing w:before="161" w:beforeLines="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25.1开标结束后，采购人、采购代理机构依法按照第三章</w:t>
      </w:r>
      <w:r>
        <w:rPr>
          <w:rFonts w:hint="eastAsia" w:ascii="华文宋体" w:hAnsi="华文宋体" w:eastAsia="华文宋体" w:cs="Times New Roman"/>
          <w:szCs w:val="21"/>
        </w:rPr>
        <w:t>“</w:t>
      </w:r>
      <w:r>
        <w:rPr>
          <w:rFonts w:hint="eastAsia" w:ascii="宋体" w:hAnsi="宋体" w:eastAsia="宋体" w:cs="Times New Roman"/>
          <w:szCs w:val="21"/>
        </w:rPr>
        <w:t>资格审查</w:t>
      </w:r>
      <w:r>
        <w:rPr>
          <w:rFonts w:hint="eastAsia" w:ascii="华文宋体" w:hAnsi="华文宋体" w:eastAsia="华文宋体" w:cs="Times New Roman"/>
          <w:szCs w:val="21"/>
        </w:rPr>
        <w:t>”</w:t>
      </w:r>
      <w:r>
        <w:rPr>
          <w:rFonts w:hint="eastAsia" w:ascii="宋体" w:hAnsi="宋体" w:eastAsia="宋体" w:cs="Times New Roman"/>
          <w:szCs w:val="21"/>
        </w:rPr>
        <w:t>规定组织资格审查。</w:t>
      </w:r>
    </w:p>
    <w:p w14:paraId="5C2C8810">
      <w:pPr>
        <w:adjustRightInd w:val="0"/>
        <w:snapToGrid w:val="0"/>
        <w:spacing w:before="161" w:beforeLines="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25.2资格审查结束后，采购人、采购代理机构应将资格审查结果告知评标委员会。资格审查不合格投标人不进入评标；资格审查合格投标人少于3家的，不得评标。</w:t>
      </w:r>
    </w:p>
    <w:p w14:paraId="336CA674">
      <w:pPr>
        <w:adjustRightInd w:val="0"/>
        <w:snapToGrid w:val="0"/>
        <w:spacing w:before="161" w:beforeLines="50" w:line="360" w:lineRule="auto"/>
        <w:jc w:val="left"/>
        <w:rPr>
          <w:rFonts w:hint="eastAsia" w:ascii="宋体" w:hAnsi="宋体" w:eastAsia="宋体" w:cs="Times New Roman"/>
          <w:b/>
          <w:sz w:val="24"/>
        </w:rPr>
      </w:pPr>
      <w:r>
        <w:rPr>
          <w:rFonts w:hint="eastAsia" w:ascii="宋体" w:hAnsi="宋体" w:eastAsia="宋体" w:cs="Times New Roman"/>
          <w:b/>
          <w:bCs/>
          <w:sz w:val="24"/>
        </w:rPr>
        <w:t>26.</w:t>
      </w:r>
      <w:r>
        <w:rPr>
          <w:rFonts w:hint="eastAsia" w:ascii="宋体" w:hAnsi="宋体" w:eastAsia="宋体" w:cs="Times New Roman"/>
          <w:b/>
          <w:sz w:val="24"/>
        </w:rPr>
        <w:t xml:space="preserve"> 评标委员会</w:t>
      </w:r>
    </w:p>
    <w:p w14:paraId="6A3A8568">
      <w:pPr>
        <w:adjustRightInd w:val="0"/>
        <w:snapToGrid w:val="0"/>
        <w:spacing w:before="161" w:beforeLines="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26.1评标由依法组建的评标委员会负责，评标委员会由采购人代表和评审专家组成。</w:t>
      </w:r>
    </w:p>
    <w:p w14:paraId="621CDBBE">
      <w:pPr>
        <w:adjustRightInd w:val="0"/>
        <w:snapToGrid w:val="0"/>
        <w:spacing w:before="161" w:beforeLines="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26.2评标委员会成员有下列情形之一的，应当回避：</w:t>
      </w:r>
    </w:p>
    <w:p w14:paraId="0826F69F">
      <w:pPr>
        <w:adjustRightInd w:val="0"/>
        <w:snapToGrid w:val="0"/>
        <w:spacing w:before="161" w:beforeLines="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（1）参加采购活动前三年内，与投标人存在劳动关系，或者担任过投标人的董事、监事，或者是投标人的控股股东或实际控制人；</w:t>
      </w:r>
    </w:p>
    <w:p w14:paraId="59CFE922">
      <w:pPr>
        <w:adjustRightInd w:val="0"/>
        <w:snapToGrid w:val="0"/>
        <w:spacing w:before="161" w:beforeLines="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（2）与投标人的法定代表人或者负责人有夫妻、直系血亲、三代以内旁系血亲或者近姻亲关系；</w:t>
      </w:r>
    </w:p>
    <w:p w14:paraId="182FA01C">
      <w:pPr>
        <w:adjustRightInd w:val="0"/>
        <w:snapToGrid w:val="0"/>
        <w:spacing w:before="161" w:beforeLines="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（3）与投标人有其他可能影响政府采购活动公平、公正进行的关系。</w:t>
      </w:r>
    </w:p>
    <w:p w14:paraId="761E1514">
      <w:pPr>
        <w:adjustRightInd w:val="0"/>
        <w:snapToGrid w:val="0"/>
        <w:spacing w:before="161" w:beforeLines="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26.3评标委员会负责具体评标事务，并独立履行下列职责：</w:t>
      </w:r>
    </w:p>
    <w:p w14:paraId="7B1BA855">
      <w:pPr>
        <w:adjustRightInd w:val="0"/>
        <w:snapToGrid w:val="0"/>
        <w:spacing w:before="161" w:beforeLines="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（1）审查、评价投标文件是否符合招标文件的商务、技术等实质性要求；</w:t>
      </w:r>
    </w:p>
    <w:p w14:paraId="6F15BFAF">
      <w:pPr>
        <w:adjustRightInd w:val="0"/>
        <w:snapToGrid w:val="0"/>
        <w:spacing w:before="161" w:beforeLines="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（2）要求投标人对投标文件有关事项作出澄清或者说明；</w:t>
      </w:r>
    </w:p>
    <w:p w14:paraId="306791B0">
      <w:pPr>
        <w:adjustRightInd w:val="0"/>
        <w:snapToGrid w:val="0"/>
        <w:spacing w:before="161" w:beforeLines="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（3）对投标文件进行比较和评价；</w:t>
      </w:r>
    </w:p>
    <w:p w14:paraId="104CE32F">
      <w:pPr>
        <w:adjustRightInd w:val="0"/>
        <w:snapToGrid w:val="0"/>
        <w:spacing w:before="161" w:beforeLines="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（4）确定中标候选人名单，以及根据采购人委托直接确定中标人。</w:t>
      </w:r>
    </w:p>
    <w:p w14:paraId="70B4382B">
      <w:pPr>
        <w:adjustRightInd w:val="0"/>
        <w:snapToGrid w:val="0"/>
        <w:spacing w:before="161" w:beforeLines="50" w:line="360" w:lineRule="auto"/>
        <w:jc w:val="left"/>
        <w:rPr>
          <w:rFonts w:hint="eastAsia" w:ascii="宋体" w:hAnsi="宋体" w:eastAsia="宋体" w:cs="Times New Roman"/>
          <w:b/>
          <w:bCs/>
          <w:sz w:val="24"/>
        </w:rPr>
      </w:pPr>
      <w:r>
        <w:rPr>
          <w:rFonts w:hint="eastAsia" w:ascii="宋体" w:hAnsi="宋体" w:eastAsia="宋体" w:cs="Times New Roman"/>
          <w:b/>
          <w:sz w:val="24"/>
        </w:rPr>
        <w:t>27.</w:t>
      </w:r>
      <w:r>
        <w:rPr>
          <w:rFonts w:hint="eastAsia" w:ascii="宋体" w:hAnsi="宋体" w:eastAsia="宋体" w:cs="Times New Roman"/>
          <w:b/>
          <w:bCs/>
          <w:sz w:val="24"/>
        </w:rPr>
        <w:t xml:space="preserve"> 评标</w:t>
      </w:r>
    </w:p>
    <w:p w14:paraId="4CDBCF5E">
      <w:pPr>
        <w:adjustRightInd w:val="0"/>
        <w:snapToGrid w:val="0"/>
        <w:spacing w:before="161" w:beforeLines="50" w:line="360" w:lineRule="auto"/>
        <w:ind w:firstLine="420" w:firstLineChars="200"/>
        <w:jc w:val="left"/>
        <w:rPr>
          <w:rFonts w:hint="eastAsia" w:ascii="宋体" w:hAnsi="宋体" w:eastAsia="宋体" w:cs="Times New Roman"/>
        </w:rPr>
      </w:pPr>
      <w:r>
        <w:rPr>
          <w:rFonts w:hint="eastAsia" w:ascii="宋体" w:hAnsi="宋体" w:eastAsia="宋体" w:cs="Times New Roman"/>
        </w:rPr>
        <w:t>27.1评标委员会按照</w:t>
      </w:r>
      <w:r>
        <w:rPr>
          <w:rFonts w:hint="eastAsia" w:ascii="宋体" w:hAnsi="宋体" w:eastAsia="宋体" w:cs="Times New Roman"/>
          <w:bCs/>
        </w:rPr>
        <w:t>第四章</w:t>
      </w:r>
      <w:r>
        <w:rPr>
          <w:rFonts w:hint="eastAsia" w:ascii="华文宋体" w:hAnsi="华文宋体" w:eastAsia="华文宋体" w:cs="Times New Roman"/>
          <w:bCs/>
        </w:rPr>
        <w:t>“</w:t>
      </w:r>
      <w:r>
        <w:rPr>
          <w:rFonts w:hint="eastAsia" w:ascii="宋体" w:hAnsi="宋体" w:eastAsia="宋体" w:cs="Times New Roman"/>
          <w:bCs/>
        </w:rPr>
        <w:t>评标方法及标准</w:t>
      </w:r>
      <w:r>
        <w:rPr>
          <w:rFonts w:hint="eastAsia" w:ascii="华文宋体" w:hAnsi="华文宋体" w:eastAsia="华文宋体" w:cs="Times New Roman"/>
          <w:bCs/>
        </w:rPr>
        <w:t>”</w:t>
      </w:r>
      <w:r>
        <w:rPr>
          <w:rFonts w:hint="eastAsia" w:ascii="宋体" w:hAnsi="宋体" w:eastAsia="宋体" w:cs="Times New Roman"/>
        </w:rPr>
        <w:t>规定的评标方法、评审因素、标准和程序以及有关法律、法规及规章对投标文件进行评审。</w:t>
      </w:r>
    </w:p>
    <w:p w14:paraId="27AF2BD5">
      <w:pPr>
        <w:keepNext/>
        <w:keepLines/>
        <w:widowControl w:val="0"/>
        <w:adjustRightInd w:val="0"/>
        <w:snapToGrid w:val="0"/>
        <w:spacing w:before="161" w:beforeLines="50" w:after="0" w:line="360" w:lineRule="auto"/>
        <w:jc w:val="center"/>
        <w:outlineLvl w:val="2"/>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六、中标信息公布</w:t>
      </w:r>
      <w:bookmarkEnd w:id="40"/>
    </w:p>
    <w:p w14:paraId="06314653">
      <w:pPr>
        <w:adjustRightInd w:val="0"/>
        <w:snapToGrid w:val="0"/>
        <w:spacing w:before="161" w:beforeLines="50" w:line="360" w:lineRule="auto"/>
        <w:jc w:val="left"/>
        <w:rPr>
          <w:rFonts w:hint="eastAsia" w:ascii="宋体" w:hAnsi="宋体" w:eastAsia="宋体" w:cs="宋体"/>
        </w:rPr>
      </w:pPr>
      <w:r>
        <w:rPr>
          <w:rFonts w:hint="eastAsia" w:ascii="宋体" w:hAnsi="宋体" w:eastAsia="宋体" w:cs="宋体"/>
          <w:b/>
          <w:bCs/>
        </w:rPr>
        <w:t>28、中标通知书与中标信息公布</w:t>
      </w:r>
    </w:p>
    <w:p w14:paraId="2B639D9E">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28.1采购代理机构应当在评标结束后 2 个工作日内将评标报告送采购人。</w:t>
      </w:r>
    </w:p>
    <w:p w14:paraId="27A28A78">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28.2采购人应当自收到评标报告之日起 5 个工作日内，在评标报告确定的中标候选人名单中按顺序确定中标人。中标候选人并列的，按照</w:t>
      </w:r>
      <w:r>
        <w:rPr>
          <w:rFonts w:hint="eastAsia" w:ascii="宋体" w:hAnsi="宋体" w:eastAsia="宋体" w:cs="宋体"/>
          <w:b/>
          <w:bCs/>
        </w:rPr>
        <w:t>【投标须知前附表】</w:t>
      </w:r>
      <w:r>
        <w:rPr>
          <w:rFonts w:hint="eastAsia" w:ascii="宋体" w:hAnsi="宋体" w:eastAsia="宋体" w:cs="宋体"/>
        </w:rPr>
        <w:t>规定的方式确定中标人；招标文件未规定的，采取随机抽取的方式确定。</w:t>
      </w:r>
    </w:p>
    <w:p w14:paraId="21A6EFCB">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28.3采购人、采购代理机构应当自采购人确定中标投标人之日起2个工作日内，发出中标通知书，并在招标公告指定媒体上公告中标结果，招标文件随中标结果同时公告，中标结果公告期限为1个工作日。</w:t>
      </w:r>
    </w:p>
    <w:p w14:paraId="1C49FC31">
      <w:pPr>
        <w:adjustRightInd w:val="0"/>
        <w:snapToGrid w:val="0"/>
        <w:spacing w:before="161" w:beforeLines="50" w:line="360" w:lineRule="auto"/>
        <w:jc w:val="left"/>
        <w:rPr>
          <w:rFonts w:hint="eastAsia" w:ascii="宋体" w:hAnsi="宋体" w:eastAsia="宋体" w:cs="宋体"/>
          <w:b/>
          <w:bCs/>
        </w:rPr>
      </w:pPr>
      <w:r>
        <w:rPr>
          <w:rFonts w:hint="eastAsia" w:ascii="宋体" w:hAnsi="宋体" w:eastAsia="宋体" w:cs="宋体"/>
          <w:b/>
          <w:bCs/>
        </w:rPr>
        <w:t>29、投标人询问及质疑</w:t>
      </w:r>
    </w:p>
    <w:p w14:paraId="5D5C952D">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29.1投标人对政府采购活动事项有疑问的，可以向采购人、采购代理机构提出询问。采购人或采购代理机构将在 3 个工作日内作出答复。</w:t>
      </w:r>
    </w:p>
    <w:p w14:paraId="43D3D416">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29.2投标人认为招标文件、采购过程和中标结果使自己的权益受到损害的，可以在知道或者  应知其权益受到损害之日起 7 个工作日内，按照《湖南省财政厅关于印发＜政府采购质疑答复和投诉处理操作规程＞的通知》(湘财购</w:t>
      </w:r>
      <w:r>
        <w:rPr>
          <w:rFonts w:hint="eastAsia" w:ascii="宋体" w:hAnsi="宋体" w:eastAsia="宋体" w:cs="Times New Roman"/>
          <w:szCs w:val="21"/>
        </w:rPr>
        <w:t>〔2024〕67号</w:t>
      </w:r>
      <w:r>
        <w:rPr>
          <w:rFonts w:hint="eastAsia" w:ascii="宋体" w:hAnsi="宋体" w:eastAsia="宋体" w:cs="宋体"/>
        </w:rPr>
        <w:t>)规定，以纸质书面形式向采购人、采购代理机构提出质疑。投标人须在法定质疑期内一次性提出针对同一采购程序环节的质疑。</w:t>
      </w:r>
    </w:p>
    <w:p w14:paraId="307C29AF">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29.3投标人提出质疑的，应按照《湖南省财政厅关于印发＜政府采购质疑答复和投诉处理操  作规程＞的通知》规定制作、签署、送达。采购人、采购代理机构接收质疑函的联系部门、联系电话和通讯地址见</w:t>
      </w:r>
      <w:r>
        <w:rPr>
          <w:rFonts w:hint="eastAsia" w:ascii="宋体" w:hAnsi="宋体" w:eastAsia="宋体" w:cs="宋体"/>
          <w:b/>
          <w:bCs/>
        </w:rPr>
        <w:t>【投标须知前附表】</w:t>
      </w:r>
      <w:r>
        <w:rPr>
          <w:rFonts w:hint="eastAsia" w:ascii="宋体" w:hAnsi="宋体" w:eastAsia="宋体" w:cs="宋体"/>
        </w:rPr>
        <w:t>。</w:t>
      </w:r>
    </w:p>
    <w:p w14:paraId="2657E250">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29.4采购人、采购代理机构按照《湖南省财政厅关于印发＜政府采购质疑答复和投诉处理操  作规程＞的通知》规定进行质疑答复。</w:t>
      </w:r>
    </w:p>
    <w:p w14:paraId="1491D255">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29.5投标人对采购人、采购代理机构的答复不满意，或采购人或采购代理机构未在规定的期  限作出答复的，可在答复期满后 15 个工作日内，按照《湖南省财政厅关于印发＜政府采购质疑答复和投诉处理操作规程＞的通知》规定向采购人同级财政部门提出投诉。</w:t>
      </w:r>
    </w:p>
    <w:p w14:paraId="393ED45B">
      <w:pPr>
        <w:widowControl w:val="0"/>
        <w:ind w:firstLine="420" w:firstLineChars="200"/>
        <w:jc w:val="both"/>
        <w:rPr>
          <w:rFonts w:ascii="Calibri" w:hAnsi="Calibri" w:eastAsia="宋体" w:cs="Times New Roman"/>
          <w:b/>
          <w:kern w:val="2"/>
          <w:sz w:val="21"/>
          <w:szCs w:val="22"/>
          <w:lang w:val="en-US" w:eastAsia="zh-CN" w:bidi="ar-SA"/>
        </w:rPr>
      </w:pPr>
      <w:r>
        <w:rPr>
          <w:rFonts w:hint="eastAsia" w:ascii="宋体" w:hAnsi="宋体" w:eastAsia="宋体" w:cs="宋体"/>
          <w:b w:val="0"/>
          <w:kern w:val="2"/>
          <w:sz w:val="21"/>
          <w:szCs w:val="22"/>
          <w:lang w:val="en-US" w:eastAsia="zh-CN" w:bidi="ar-SA"/>
        </w:rPr>
        <w:t>29.6以联合体形式参加政府采购活动的，联合体组成后提出的质疑事项应当由组成联合体的所有投标人共同提出。</w:t>
      </w:r>
    </w:p>
    <w:p w14:paraId="3A6579DB">
      <w:pPr>
        <w:keepNext/>
        <w:keepLines/>
        <w:widowControl w:val="0"/>
        <w:adjustRightInd w:val="0"/>
        <w:snapToGrid w:val="0"/>
        <w:spacing w:before="161" w:beforeLines="50" w:after="0" w:line="360" w:lineRule="auto"/>
        <w:jc w:val="center"/>
        <w:outlineLvl w:val="2"/>
        <w:rPr>
          <w:rFonts w:hint="eastAsia" w:ascii="宋体" w:hAnsi="宋体" w:eastAsia="宋体" w:cs="宋体"/>
          <w:b/>
          <w:bCs/>
          <w:kern w:val="2"/>
          <w:sz w:val="28"/>
          <w:szCs w:val="28"/>
          <w:lang w:val="en-US" w:eastAsia="zh-CN" w:bidi="ar-SA"/>
        </w:rPr>
      </w:pPr>
      <w:bookmarkStart w:id="41" w:name="_Toc16755"/>
      <w:r>
        <w:rPr>
          <w:rFonts w:hint="eastAsia" w:ascii="宋体" w:hAnsi="宋体" w:eastAsia="宋体" w:cs="宋体"/>
          <w:b/>
          <w:bCs/>
          <w:kern w:val="2"/>
          <w:sz w:val="28"/>
          <w:szCs w:val="28"/>
          <w:lang w:val="en-US" w:eastAsia="zh-CN" w:bidi="ar-SA"/>
        </w:rPr>
        <w:t>七、合同签订</w:t>
      </w:r>
      <w:bookmarkEnd w:id="41"/>
    </w:p>
    <w:p w14:paraId="62009562">
      <w:pPr>
        <w:adjustRightInd w:val="0"/>
        <w:snapToGrid w:val="0"/>
        <w:spacing w:before="161" w:beforeLines="50" w:line="360" w:lineRule="auto"/>
        <w:jc w:val="left"/>
        <w:rPr>
          <w:rFonts w:hint="eastAsia" w:ascii="宋体" w:hAnsi="宋体" w:eastAsia="宋体" w:cs="宋体"/>
          <w:b/>
          <w:bCs/>
        </w:rPr>
      </w:pPr>
      <w:r>
        <w:rPr>
          <w:rFonts w:hint="eastAsia" w:ascii="宋体" w:hAnsi="宋体" w:eastAsia="宋体" w:cs="宋体"/>
          <w:b/>
          <w:bCs/>
        </w:rPr>
        <w:t>30、签订合同</w:t>
      </w:r>
    </w:p>
    <w:p w14:paraId="4B6FADBD">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30.1采购人应自中标通知书发出之日起 30 日内，按中标通知书指定的时间、地点与中标人签订政府采购合同。所签订的合同不得对招标文件确定的事项和中标人投标文件作实质性修改。</w:t>
      </w:r>
    </w:p>
    <w:p w14:paraId="1668FD09">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30.2招标文件、中标人的投标文件均为签订合同的依据。</w:t>
      </w:r>
    </w:p>
    <w:p w14:paraId="54BFFFC9">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30.3联合体中标的，联合体各方应当共同与采购人签订合同，就中标项目向采购人承担连带  责任。</w:t>
      </w:r>
    </w:p>
    <w:p w14:paraId="64C4A0BA">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30.4中标合同将在招标公告指定媒体上公告，但合同中涉及国家秘密、商业秘密的内容除外。</w:t>
      </w:r>
    </w:p>
    <w:p w14:paraId="6656F02F">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30.5中标人应当按照合同约定依法履行合同义务。政府采购合同的履行、违约责任和解决争  议的方法等适用《中华人民共和国民法典》。</w:t>
      </w:r>
    </w:p>
    <w:p w14:paraId="30493B81">
      <w:pPr>
        <w:adjustRightInd w:val="0"/>
        <w:snapToGrid w:val="0"/>
        <w:spacing w:before="161" w:beforeLines="50" w:line="360" w:lineRule="auto"/>
        <w:jc w:val="left"/>
        <w:rPr>
          <w:rFonts w:hint="eastAsia" w:ascii="宋体" w:hAnsi="宋体" w:eastAsia="宋体" w:cs="宋体"/>
          <w:b/>
          <w:bCs/>
        </w:rPr>
      </w:pPr>
      <w:r>
        <w:rPr>
          <w:rFonts w:hint="eastAsia" w:ascii="宋体" w:hAnsi="宋体" w:eastAsia="宋体" w:cs="宋体"/>
          <w:b/>
          <w:bCs/>
        </w:rPr>
        <w:t>31、履约担保</w:t>
      </w:r>
    </w:p>
    <w:p w14:paraId="047C8415">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31.1招标文件要求中标人向采购人提交履约担保的，中标人应按照</w:t>
      </w:r>
      <w:r>
        <w:rPr>
          <w:rFonts w:hint="eastAsia" w:ascii="宋体" w:hAnsi="宋体" w:eastAsia="宋体" w:cs="宋体"/>
          <w:b/>
          <w:bCs/>
        </w:rPr>
        <w:t>【投标须知前附表】</w:t>
      </w:r>
      <w:r>
        <w:rPr>
          <w:rFonts w:hint="eastAsia" w:ascii="宋体" w:hAnsi="宋体" w:eastAsia="宋体" w:cs="宋体"/>
        </w:rPr>
        <w:t>的规  定提交。联合体中标的，履约担保由联合体各方或联合体中牵头人的名义提交。</w:t>
      </w:r>
    </w:p>
    <w:p w14:paraId="37E3C04B">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31.2中标人没有按照本章第 31.1 款规定提交履约担保的，视为</w:t>
      </w:r>
      <w:r>
        <w:rPr>
          <w:rFonts w:hint="eastAsia" w:ascii="宋体" w:hAnsi="宋体" w:eastAsia="宋体" w:cs="宋体"/>
          <w:b/>
          <w:bCs/>
        </w:rPr>
        <w:t>放弃中标</w:t>
      </w:r>
      <w:r>
        <w:rPr>
          <w:rFonts w:hint="eastAsia" w:ascii="宋体" w:hAnsi="宋体" w:eastAsia="宋体" w:cs="宋体"/>
        </w:rPr>
        <w:t>，其投标保证金不予退还。</w:t>
      </w:r>
    </w:p>
    <w:p w14:paraId="3754CC99">
      <w:pPr>
        <w:adjustRightInd w:val="0"/>
        <w:snapToGrid w:val="0"/>
        <w:spacing w:before="161" w:beforeLines="50" w:line="360" w:lineRule="auto"/>
        <w:jc w:val="left"/>
        <w:rPr>
          <w:rFonts w:hint="eastAsia" w:ascii="宋体" w:hAnsi="宋体" w:eastAsia="宋体" w:cs="宋体"/>
          <w:b/>
          <w:bCs/>
        </w:rPr>
      </w:pPr>
      <w:r>
        <w:rPr>
          <w:rFonts w:hint="eastAsia" w:ascii="宋体" w:hAnsi="宋体" w:eastAsia="宋体" w:cs="宋体"/>
          <w:b/>
          <w:bCs/>
        </w:rPr>
        <w:t>32、政府采购合同履行中数量的变更</w:t>
      </w:r>
    </w:p>
    <w:p w14:paraId="4B39CAC5">
      <w:pPr>
        <w:adjustRightInd w:val="0"/>
        <w:snapToGrid w:val="0"/>
        <w:spacing w:before="161" w:beforeLines="50" w:line="360" w:lineRule="auto"/>
        <w:ind w:firstLine="420" w:firstLineChars="200"/>
        <w:jc w:val="left"/>
        <w:rPr>
          <w:rFonts w:hint="eastAsia" w:ascii="宋体" w:hAnsi="宋体" w:eastAsia="宋体" w:cs="宋体"/>
          <w:sz w:val="28"/>
          <w:szCs w:val="28"/>
        </w:rPr>
      </w:pPr>
      <w:r>
        <w:rPr>
          <w:rFonts w:hint="eastAsia" w:ascii="宋体" w:hAnsi="宋体" w:eastAsia="宋体" w:cs="宋体"/>
        </w:rPr>
        <w:t>32.1政府采购合同履行中，采购人需追加与合同标的相同的服务的，在不改变合同其他条款的前提下，可以与中标人协商签订补充合同，但所有补充合同的采购金额不得超过原合同采购金额的百分之十。</w:t>
      </w:r>
    </w:p>
    <w:p w14:paraId="0324C275">
      <w:pPr>
        <w:keepNext/>
        <w:keepLines/>
        <w:widowControl w:val="0"/>
        <w:adjustRightInd w:val="0"/>
        <w:snapToGrid w:val="0"/>
        <w:spacing w:before="161" w:beforeLines="50" w:after="0" w:line="360" w:lineRule="auto"/>
        <w:jc w:val="center"/>
        <w:outlineLvl w:val="2"/>
        <w:rPr>
          <w:rFonts w:hint="eastAsia" w:ascii="宋体" w:hAnsi="宋体" w:eastAsia="宋体" w:cs="宋体"/>
          <w:b/>
          <w:bCs/>
          <w:kern w:val="2"/>
          <w:sz w:val="28"/>
          <w:szCs w:val="28"/>
          <w:lang w:val="en-US" w:eastAsia="zh-CN" w:bidi="ar-SA"/>
        </w:rPr>
      </w:pPr>
      <w:bookmarkStart w:id="42" w:name="_Toc22364"/>
      <w:r>
        <w:rPr>
          <w:rFonts w:hint="eastAsia" w:ascii="宋体" w:hAnsi="宋体" w:eastAsia="宋体" w:cs="宋体"/>
          <w:b/>
          <w:bCs/>
          <w:kern w:val="2"/>
          <w:sz w:val="28"/>
          <w:szCs w:val="28"/>
          <w:lang w:val="en-US" w:eastAsia="zh-CN" w:bidi="ar-SA"/>
        </w:rPr>
        <w:t>八、政府采购政策</w:t>
      </w:r>
      <w:bookmarkEnd w:id="42"/>
    </w:p>
    <w:p w14:paraId="3444C2A5">
      <w:pPr>
        <w:adjustRightInd w:val="0"/>
        <w:snapToGrid w:val="0"/>
        <w:spacing w:before="161" w:beforeLines="50" w:line="360" w:lineRule="auto"/>
        <w:jc w:val="left"/>
        <w:rPr>
          <w:rFonts w:hint="eastAsia" w:ascii="宋体" w:hAnsi="宋体" w:eastAsia="宋体" w:cs="宋体"/>
        </w:rPr>
      </w:pPr>
      <w:r>
        <w:rPr>
          <w:rFonts w:hint="eastAsia" w:ascii="宋体" w:hAnsi="宋体" w:eastAsia="宋体" w:cs="宋体"/>
          <w:b/>
          <w:bCs/>
        </w:rPr>
        <w:t>33、政府采购政策</w:t>
      </w:r>
    </w:p>
    <w:p w14:paraId="4CEBFA00">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33.1优先采购：</w:t>
      </w:r>
    </w:p>
    <w:p w14:paraId="13E2BC7A">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（1）纳入财政部会同国务院有关部门发布的节能产品、环境标志产品政府采购品目清单，实施政府优先采购的，评审时按招标文件第四章第一节有关规定给予一定比例的价格折扣或者加分。</w:t>
      </w:r>
    </w:p>
    <w:p w14:paraId="7C654C10">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33.2强制采购：</w:t>
      </w:r>
    </w:p>
    <w:p w14:paraId="55240769">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1）纳入财政部会同国务院有关部门发布的节能产品政府采购品目清单，实施政府强制采购的（品目清单标注★符号产品），投标人投标产品应当取得国家确定的认证机构出具的、处于有效期之内的节能产品认证证书，否则其</w:t>
      </w:r>
      <w:r>
        <w:rPr>
          <w:rFonts w:hint="eastAsia" w:ascii="宋体" w:hAnsi="宋体" w:eastAsia="宋体" w:cs="宋体"/>
          <w:b/>
          <w:bCs/>
        </w:rPr>
        <w:t>投标无效</w:t>
      </w:r>
      <w:r>
        <w:rPr>
          <w:rFonts w:hint="eastAsia" w:ascii="宋体" w:hAnsi="宋体" w:eastAsia="宋体" w:cs="宋体"/>
        </w:rPr>
        <w:t>。</w:t>
      </w:r>
    </w:p>
    <w:p w14:paraId="623D1BE3">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33.3价格评审优惠：</w:t>
      </w:r>
    </w:p>
    <w:p w14:paraId="5D63BE03">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1）在政府采购活动中，供应商提供的货物、工程或者服务符合下列情形的：（一）在货物采购项目中，货物由中小企业制造，即货物由中小企业生产且使用该中小企业商号或者注册商标；（二）在工程采购项目中，工程由中小企业承建，即工程施工单位为中小企业；（三）在服务采购项目中，服务由中小企业承接，即提供服务的人员为中小企业依照《中华人民共和国劳动合同法》订立劳动合同的从业人员；给予一定比例的价格折扣，用扣除后的价格参与评审；</w:t>
      </w:r>
    </w:p>
    <w:p w14:paraId="567D5E2B">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对于经主管预算单位统筹后未预留份额专门面向中小企业采购的采购项目，以及预留份额项目中的非预留部分采购包，符合小微企业生产的货物或者提供的服务、工程情形的，给予一定比例的价格折扣，用扣除后的价格参与评审。</w:t>
      </w:r>
    </w:p>
    <w:p w14:paraId="229272BC">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 xml:space="preserve">接受大中型企业与小微企业组成联合体或者允许大中型企业向一家或者多家小微企业分包的采购项目，对于联合协议或者分包意向协议约定小微企业的合同份额占到合同总金额30%以上的，给予一定比例的价格折扣，用扣除后的价格参与评审。以联合体形式参加政府采购活动，联合体各方均为中小企业的，联合体视同中小企业。其中，联合体各方均为小微企业的，联合体视同小微企业； </w:t>
      </w:r>
    </w:p>
    <w:p w14:paraId="67486B57">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（3）符合中小企业划分标准的个体工商户视同中小企业，享受评审中价格扣除等促进中小企业发展的政府采购政策。</w:t>
      </w:r>
    </w:p>
    <w:p w14:paraId="604AC8A9">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（4）监狱企业、残疾人福利性单位视同小型、微型企业，享受评审中价格扣除等促进中小企业发展的政府采购政策。</w:t>
      </w:r>
    </w:p>
    <w:p w14:paraId="3000F65A">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 xml:space="preserve">（5）与大企业的负责人为同一人，或者与大企业存在直接控股、管理关系的中小企业，不享受评审中价格扣除等促进中小企业发展的政府采购政策。 </w:t>
      </w:r>
    </w:p>
    <w:p w14:paraId="2FF7B74F">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（6）本章第1.2款规定采购项目或者采购包属于“预留采购份额”的，预留部分不再享受本款“价格评审优惠”的小微企业扶持政策。</w:t>
      </w:r>
    </w:p>
    <w:p w14:paraId="4D4018A8">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33.4政府采购政策交叉与叠加</w:t>
      </w:r>
    </w:p>
    <w:p w14:paraId="2EFEBF65">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（1）投标产品取得两个及以上优先采购产品认证的，评审时只有其中一项产品能享受优先采购优惠（投标人自行选择，并在投标文件中并填报相关信息及数据）</w:t>
      </w:r>
    </w:p>
    <w:p w14:paraId="7E0161C6">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（2）投标人同时符合小型、微型企业及监狱企业、残疾人福利性单位要求的，评审时只有一种类型享受价格评审优惠政策；</w:t>
      </w:r>
    </w:p>
    <w:p w14:paraId="1610F234">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（3）小型和微型企业的价格评审优惠可以与同时属于“节能产品”、“环境标志产品”中的一项优先采购优惠累加计算。</w:t>
      </w:r>
    </w:p>
    <w:p w14:paraId="23285F61">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33.5在货物采购项目中，投标人提供的货物既有中小企业制造货物，也有大型企业制造货物的，不享受政府采购中小企业扶持政策。</w:t>
      </w:r>
    </w:p>
    <w:p w14:paraId="5EDFBF56">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33.6投标人符合本章第 33.1 款、第 33.2 款、第 33.3 款规定的，应提供相关证明资料。</w:t>
      </w:r>
    </w:p>
    <w:p w14:paraId="48BC41CC">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（1）节能产品、环境标志产品：提供国家确定的认证机构出具的、处于有效期之内的节能产品、环境标志产品认证证书。</w:t>
      </w:r>
    </w:p>
    <w:p w14:paraId="79351D1A">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（2）中小企业：货物类采购项目，按《关于印发＜政府采购促进中小企业发展办法＞的通知》(财库[2020]46号) 和《关于印发中小企业划型标准规定的通知》（工信部联企业〔2011〕300号）文件规定提供中小企业声明函（格式）；服务类采购项目，按《湖南省财政厅关于政府采购促进中小企业发展的有关措施的通知》（湘财购[2022]17号）文件规定提供湖南省政府采购供应商资格承诺函（格式）。</w:t>
      </w:r>
    </w:p>
    <w:p w14:paraId="05AA612A">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（4）监狱企业：按《关于政府采购支持监狱企业发展有关问题的通知》(财库〔2014〕68 号)文件规定提供证明文件。</w:t>
      </w:r>
    </w:p>
    <w:p w14:paraId="745E3F54">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（5）残疾人福利性单位：按《关于促进残疾人就业政府采购政策的通知》(财库〔2017〕141  号)文件规定提供《残疾人福利性单位声明函》（格式）。</w:t>
      </w:r>
    </w:p>
    <w:p w14:paraId="5EB066C2">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33.7执行中小企业预留采购份额政策的规定：</w:t>
      </w:r>
    </w:p>
    <w:p w14:paraId="30631A63">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（1）预留份额的采购项目或者采购包，应明确该项目或相关采购包专门面向中小企业采购，并作为投标人资格条件。</w:t>
      </w:r>
    </w:p>
    <w:p w14:paraId="64F80FBF">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（2）要求以联合体形式参加或者合同分包的，应明确联合协议或者分包意向协议中中小企业合同金额应当达到的比例，并作为投标人资格条件。</w:t>
      </w:r>
    </w:p>
    <w:p w14:paraId="1B80ECAE">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（3）组成联合体或者接受分包合同的中小企业与联合体内其他企业(成员)、分包企业(投标人)之间不得存在直接控股、管理关系。</w:t>
      </w:r>
    </w:p>
    <w:p w14:paraId="3C047DF7">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33.8采购进口产品</w:t>
      </w:r>
    </w:p>
    <w:p w14:paraId="136153C3">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进口产品是指符合《政府采购进口产品管理办法》（财库〔2007〕119号）和《关于政府采购进口产品管理有关问题的通知》（财办库〔2008〕248号）文件规定的产品。除【投标须知前附表】另有规定外，采购项目拒绝进口产品参加投标。本款规定同意购买进口产品的，不限制满足招标文件要求的国内产品参与投标竞争。</w:t>
      </w:r>
    </w:p>
    <w:p w14:paraId="17D709F4">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rPr>
        <w:t>33.9投标人有融资、担保需求的，可登陆中国湖南政府采购网查询相关银行、担保机构业务。</w:t>
      </w:r>
    </w:p>
    <w:p w14:paraId="2FA58C44">
      <w:pPr>
        <w:keepNext/>
        <w:keepLines/>
        <w:widowControl w:val="0"/>
        <w:adjustRightInd w:val="0"/>
        <w:snapToGrid w:val="0"/>
        <w:spacing w:before="161" w:beforeLines="50" w:after="0" w:line="360" w:lineRule="auto"/>
        <w:jc w:val="center"/>
        <w:outlineLvl w:val="2"/>
        <w:rPr>
          <w:rFonts w:hint="eastAsia" w:ascii="宋体" w:hAnsi="宋体" w:eastAsia="宋体" w:cs="宋体"/>
          <w:b/>
          <w:bCs/>
          <w:kern w:val="2"/>
          <w:sz w:val="28"/>
          <w:szCs w:val="28"/>
          <w:lang w:val="en-US" w:eastAsia="zh-CN" w:bidi="ar-SA"/>
        </w:rPr>
      </w:pPr>
      <w:bookmarkStart w:id="43" w:name="_Toc165"/>
      <w:r>
        <w:rPr>
          <w:rFonts w:hint="eastAsia" w:ascii="宋体" w:hAnsi="宋体" w:eastAsia="宋体" w:cs="宋体"/>
          <w:b/>
          <w:bCs/>
          <w:kern w:val="2"/>
          <w:sz w:val="28"/>
          <w:szCs w:val="28"/>
          <w:lang w:val="en-US" w:eastAsia="zh-CN" w:bidi="ar-SA"/>
        </w:rPr>
        <w:t>九、其他规定</w:t>
      </w:r>
      <w:bookmarkEnd w:id="43"/>
    </w:p>
    <w:p w14:paraId="7D02D023">
      <w:pPr>
        <w:adjustRightInd w:val="0"/>
        <w:snapToGrid w:val="0"/>
        <w:spacing w:before="161" w:beforeLines="50" w:line="360" w:lineRule="auto"/>
        <w:jc w:val="left"/>
        <w:rPr>
          <w:rFonts w:hint="eastAsia" w:ascii="宋体" w:hAnsi="宋体" w:eastAsia="宋体" w:cs="宋体"/>
          <w:szCs w:val="21"/>
        </w:rPr>
      </w:pPr>
      <w:r>
        <w:rPr>
          <w:rFonts w:hint="eastAsia" w:ascii="宋体" w:hAnsi="宋体" w:eastAsia="宋体" w:cs="宋体"/>
          <w:b/>
          <w:bCs/>
          <w:szCs w:val="21"/>
        </w:rPr>
        <w:t>34、招标不足三家处理</w:t>
      </w:r>
    </w:p>
    <w:p w14:paraId="6FF7BAD5">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34.1公开招标数额标准以上的采购项目，投标截止后投标人不足 3 家或者通过资格审查或符合性审查的投标人不足 3 家的，除采购任务取消情形外，按照以下方式处理：</w:t>
      </w:r>
    </w:p>
    <w:p w14:paraId="0DC781C8">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（1）招标文件存在不合理条款或者招标程序不符合规定的，采购人、采购代理机构改正后依法重新招标；</w:t>
      </w:r>
    </w:p>
    <w:p w14:paraId="39CA87A2">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（2）招标文件没有不合理条款、招标程序符合规定，需要采用其他采购方式采购的，采购人应当依法报财政部门批准。</w:t>
      </w:r>
    </w:p>
    <w:p w14:paraId="29C2319D">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34.2属上款第（2）项情形的，评标委员会应出具的招标文件没有不合理条款的论证意见。</w:t>
      </w:r>
    </w:p>
    <w:p w14:paraId="19F60CC2">
      <w:pPr>
        <w:adjustRightInd w:val="0"/>
        <w:snapToGrid w:val="0"/>
        <w:spacing w:before="161" w:beforeLines="50" w:line="360" w:lineRule="auto"/>
        <w:jc w:val="left"/>
        <w:rPr>
          <w:rFonts w:hint="eastAsia" w:ascii="宋体" w:hAnsi="宋体" w:eastAsia="宋体" w:cs="宋体"/>
          <w:b/>
          <w:bCs/>
          <w:szCs w:val="21"/>
          <w:lang w:val="ru-RU"/>
        </w:rPr>
      </w:pPr>
      <w:r>
        <w:rPr>
          <w:rFonts w:hint="eastAsia" w:ascii="宋体" w:hAnsi="宋体" w:eastAsia="宋体" w:cs="宋体"/>
          <w:b/>
          <w:bCs/>
          <w:szCs w:val="21"/>
          <w:lang w:val="ru-RU"/>
        </w:rPr>
        <w:t>35.需要补充的其他内容</w:t>
      </w:r>
    </w:p>
    <w:p w14:paraId="0F543536">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35.1合同价款支付</w:t>
      </w:r>
    </w:p>
    <w:p w14:paraId="2C8A1E14">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（1）招标文件规定支付合同预付款的，采购人应按</w:t>
      </w:r>
      <w:r>
        <w:rPr>
          <w:rFonts w:hint="eastAsia" w:ascii="宋体" w:hAnsi="宋体" w:eastAsia="宋体" w:cs="宋体"/>
          <w:b/>
          <w:bCs/>
        </w:rPr>
        <w:t>【投标须知前附表】</w:t>
      </w:r>
      <w:r>
        <w:rPr>
          <w:rFonts w:hint="eastAsia" w:ascii="宋体" w:hAnsi="宋体" w:eastAsia="宋体" w:cs="宋体"/>
          <w:szCs w:val="21"/>
        </w:rPr>
        <w:t>规定的支付比例和支付条件向符合要求的中标供应商及时支付相应款项，并在政府采购合同中进行明确。</w:t>
      </w:r>
    </w:p>
    <w:p w14:paraId="49B0A75A">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（2）招标文件规定需提交质量保证金的，采购人可以按</w:t>
      </w:r>
      <w:r>
        <w:rPr>
          <w:rFonts w:hint="eastAsia" w:ascii="宋体" w:hAnsi="宋体" w:eastAsia="宋体" w:cs="宋体"/>
          <w:b/>
          <w:bCs/>
        </w:rPr>
        <w:t>【投标须知前附表】</w:t>
      </w:r>
      <w:r>
        <w:rPr>
          <w:rFonts w:hint="eastAsia" w:ascii="宋体" w:hAnsi="宋体" w:eastAsia="宋体" w:cs="宋体"/>
          <w:szCs w:val="21"/>
        </w:rPr>
        <w:t>规定要求中标供应商提交质量保证金，并在政府采购合同中进行明确。</w:t>
      </w:r>
    </w:p>
    <w:p w14:paraId="1911097B">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（3）投标人可以保函、电子增信替代预付款担保、质量保证金。</w:t>
      </w:r>
    </w:p>
    <w:p w14:paraId="3DA568BC">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35.2招标文件需要补充的其他内容见</w:t>
      </w:r>
      <w:r>
        <w:rPr>
          <w:rFonts w:hint="eastAsia" w:ascii="宋体" w:hAnsi="宋体" w:eastAsia="宋体" w:cs="宋体"/>
          <w:b/>
          <w:bCs/>
        </w:rPr>
        <w:t>【投标须知前附表】</w:t>
      </w:r>
      <w:r>
        <w:rPr>
          <w:rFonts w:hint="eastAsia" w:ascii="宋体" w:hAnsi="宋体" w:eastAsia="宋体" w:cs="宋体"/>
          <w:szCs w:val="21"/>
        </w:rPr>
        <w:t>。</w:t>
      </w:r>
    </w:p>
    <w:p w14:paraId="0DAFBEDB">
      <w:pPr>
        <w:rPr>
          <w:rFonts w:hint="eastAsia" w:ascii="宋体" w:hAnsi="宋体" w:eastAsia="宋体" w:cs="宋体"/>
          <w:sz w:val="32"/>
          <w:szCs w:val="32"/>
        </w:rPr>
      </w:pPr>
      <w:bookmarkStart w:id="44" w:name="_Toc688"/>
      <w:r>
        <w:rPr>
          <w:rFonts w:hint="eastAsia" w:ascii="宋体" w:hAnsi="宋体" w:eastAsia="宋体" w:cs="宋体"/>
          <w:sz w:val="32"/>
          <w:szCs w:val="32"/>
        </w:rPr>
        <w:br w:type="page"/>
      </w:r>
    </w:p>
    <w:p w14:paraId="2A3980C5">
      <w:pPr>
        <w:spacing w:line="460" w:lineRule="exact"/>
        <w:jc w:val="left"/>
        <w:rPr>
          <w:rFonts w:hint="eastAsia" w:ascii="宋体" w:hAnsi="宋体" w:eastAsia="宋体" w:cs="宋体"/>
          <w:b/>
          <w:bCs/>
          <w:szCs w:val="21"/>
        </w:rPr>
      </w:pPr>
      <w:r>
        <w:rPr>
          <w:rFonts w:hint="eastAsia" w:ascii="宋体" w:hAnsi="宋体" w:eastAsia="宋体" w:cs="宋体"/>
          <w:b/>
          <w:bCs/>
          <w:szCs w:val="21"/>
        </w:rPr>
        <w:t>附件1：</w:t>
      </w:r>
    </w:p>
    <w:p w14:paraId="7B0DDBA8">
      <w:pPr>
        <w:spacing w:line="460" w:lineRule="exact"/>
        <w:ind w:firstLine="420" w:firstLineChars="200"/>
        <w:jc w:val="left"/>
        <w:rPr>
          <w:rFonts w:hint="eastAsia" w:ascii="宋体" w:hAnsi="宋体" w:eastAsia="宋体" w:cs="宋体"/>
          <w:bCs/>
          <w:szCs w:val="21"/>
        </w:rPr>
      </w:pPr>
    </w:p>
    <w:p w14:paraId="5DB0B0EB">
      <w:pPr>
        <w:spacing w:line="460" w:lineRule="exact"/>
        <w:ind w:firstLine="422" w:firstLineChars="200"/>
        <w:jc w:val="center"/>
        <w:rPr>
          <w:rFonts w:hint="eastAsia" w:ascii="宋体" w:hAnsi="宋体" w:eastAsia="宋体" w:cs="宋体"/>
          <w:b/>
          <w:bCs/>
          <w:szCs w:val="21"/>
        </w:rPr>
      </w:pPr>
      <w:r>
        <w:rPr>
          <w:rFonts w:hint="eastAsia" w:ascii="宋体" w:hAnsi="宋体" w:eastAsia="宋体" w:cs="宋体"/>
          <w:b/>
          <w:bCs/>
          <w:szCs w:val="21"/>
        </w:rPr>
        <w:t>株洲市政府采购合同线上融资流程</w:t>
      </w:r>
    </w:p>
    <w:p w14:paraId="5E800EFF">
      <w:pPr>
        <w:spacing w:line="460" w:lineRule="exact"/>
        <w:ind w:firstLine="422" w:firstLineChars="200"/>
        <w:jc w:val="left"/>
        <w:rPr>
          <w:rFonts w:hint="eastAsia" w:ascii="宋体" w:hAnsi="宋体" w:eastAsia="宋体" w:cs="宋体"/>
          <w:b/>
          <w:bCs/>
          <w:szCs w:val="21"/>
        </w:rPr>
      </w:pPr>
      <w:r>
        <w:rPr>
          <w:rFonts w:hint="eastAsia" w:ascii="宋体" w:hAnsi="宋体" w:eastAsia="宋体" w:cs="宋体"/>
          <w:b/>
          <w:bCs/>
          <w:szCs w:val="21"/>
        </w:rPr>
        <w:t>（一）、融资申请</w:t>
      </w:r>
    </w:p>
    <w:p w14:paraId="71CC2E7E">
      <w:pPr>
        <w:spacing w:line="460" w:lineRule="exact"/>
        <w:ind w:firstLine="420" w:firstLineChars="200"/>
        <w:jc w:val="left"/>
        <w:rPr>
          <w:rFonts w:hint="eastAsia" w:ascii="宋体" w:hAnsi="宋体" w:eastAsia="宋体" w:cs="宋体"/>
          <w:bCs/>
          <w:szCs w:val="21"/>
        </w:rPr>
      </w:pPr>
      <w:r>
        <w:rPr>
          <w:rFonts w:hint="eastAsia" w:ascii="宋体" w:hAnsi="宋体" w:eastAsia="宋体" w:cs="宋体"/>
          <w:bCs/>
          <w:szCs w:val="21"/>
        </w:rPr>
        <w:t>有融资需求的供应商取得《中标通知书》后，在签订采购合同前，通过“株洲市政府采购网”的“政府采购合同融资”链接进入“中征应收账款融资服务平台”，直接向参与金融机构推送融资需求。</w:t>
      </w:r>
    </w:p>
    <w:p w14:paraId="41207A28">
      <w:pPr>
        <w:spacing w:line="460" w:lineRule="exact"/>
        <w:ind w:firstLine="422" w:firstLineChars="200"/>
        <w:jc w:val="left"/>
        <w:rPr>
          <w:rFonts w:hint="eastAsia" w:ascii="宋体" w:hAnsi="宋体" w:eastAsia="宋体" w:cs="宋体"/>
          <w:b/>
          <w:bCs/>
          <w:szCs w:val="21"/>
        </w:rPr>
      </w:pPr>
      <w:r>
        <w:rPr>
          <w:rFonts w:hint="eastAsia" w:ascii="宋体" w:hAnsi="宋体" w:eastAsia="宋体" w:cs="宋体"/>
          <w:b/>
          <w:bCs/>
          <w:szCs w:val="21"/>
        </w:rPr>
        <w:t>（二）、资料审查</w:t>
      </w:r>
    </w:p>
    <w:p w14:paraId="15FB170B">
      <w:pPr>
        <w:spacing w:line="460" w:lineRule="exact"/>
        <w:ind w:firstLine="420" w:firstLineChars="200"/>
        <w:jc w:val="left"/>
        <w:rPr>
          <w:rFonts w:hint="eastAsia" w:ascii="宋体" w:hAnsi="宋体" w:eastAsia="宋体" w:cs="宋体"/>
          <w:bCs/>
          <w:szCs w:val="21"/>
        </w:rPr>
      </w:pPr>
      <w:r>
        <w:rPr>
          <w:rFonts w:hint="eastAsia" w:ascii="宋体" w:hAnsi="宋体" w:eastAsia="宋体" w:cs="宋体"/>
          <w:bCs/>
          <w:szCs w:val="21"/>
        </w:rPr>
        <w:t>参与金融机构登录平台查看融资需求及中标（或成交）详情，进行贷前评审，确定融资方案和回款账户，签订《政府采购合同》，确定合同收款账户。</w:t>
      </w:r>
    </w:p>
    <w:p w14:paraId="5CAFB18C">
      <w:pPr>
        <w:spacing w:line="460" w:lineRule="exact"/>
        <w:ind w:firstLine="422" w:firstLineChars="200"/>
        <w:jc w:val="left"/>
        <w:rPr>
          <w:rFonts w:hint="eastAsia" w:ascii="宋体" w:hAnsi="宋体" w:eastAsia="宋体" w:cs="宋体"/>
          <w:b/>
          <w:bCs/>
          <w:szCs w:val="21"/>
        </w:rPr>
      </w:pPr>
      <w:r>
        <w:rPr>
          <w:rFonts w:hint="eastAsia" w:ascii="宋体" w:hAnsi="宋体" w:eastAsia="宋体" w:cs="宋体"/>
          <w:b/>
          <w:bCs/>
          <w:szCs w:val="21"/>
        </w:rPr>
        <w:t>（三）、签订贷款协议</w:t>
      </w:r>
    </w:p>
    <w:p w14:paraId="5B3B3CAC">
      <w:pPr>
        <w:spacing w:line="460" w:lineRule="exact"/>
        <w:ind w:firstLine="420" w:firstLineChars="200"/>
        <w:jc w:val="left"/>
        <w:rPr>
          <w:rFonts w:hint="eastAsia" w:ascii="宋体" w:hAnsi="宋体" w:eastAsia="宋体" w:cs="宋体"/>
          <w:bCs/>
          <w:szCs w:val="21"/>
        </w:rPr>
      </w:pPr>
      <w:r>
        <w:rPr>
          <w:rFonts w:hint="eastAsia" w:ascii="宋体" w:hAnsi="宋体" w:eastAsia="宋体" w:cs="宋体"/>
          <w:bCs/>
          <w:szCs w:val="21"/>
        </w:rPr>
        <w:t>参与金融机构登录平台查看采购合同信息，与供应商签订贷款协议，在线填写融资成交单，推送融资成交信息，系统自动将回款账户锁定为银行监管账户。</w:t>
      </w:r>
    </w:p>
    <w:p w14:paraId="0A937325">
      <w:pPr>
        <w:spacing w:line="460" w:lineRule="exact"/>
        <w:ind w:firstLine="422" w:firstLineChars="200"/>
        <w:jc w:val="left"/>
        <w:rPr>
          <w:rFonts w:hint="eastAsia" w:ascii="宋体" w:hAnsi="宋体" w:eastAsia="宋体" w:cs="宋体"/>
          <w:b/>
          <w:bCs/>
          <w:szCs w:val="21"/>
        </w:rPr>
      </w:pPr>
      <w:r>
        <w:rPr>
          <w:rFonts w:hint="eastAsia" w:ascii="宋体" w:hAnsi="宋体" w:eastAsia="宋体" w:cs="宋体"/>
          <w:b/>
          <w:bCs/>
          <w:szCs w:val="21"/>
        </w:rPr>
        <w:t>（四）、贷款发放</w:t>
      </w:r>
    </w:p>
    <w:p w14:paraId="55B5120E">
      <w:pPr>
        <w:spacing w:line="460" w:lineRule="exact"/>
        <w:ind w:firstLine="420" w:firstLineChars="200"/>
        <w:jc w:val="left"/>
        <w:rPr>
          <w:rFonts w:hint="eastAsia" w:ascii="宋体" w:hAnsi="宋体" w:eastAsia="宋体" w:cs="宋体"/>
          <w:bCs/>
          <w:szCs w:val="21"/>
        </w:rPr>
      </w:pPr>
      <w:r>
        <w:rPr>
          <w:rFonts w:hint="eastAsia" w:ascii="宋体" w:hAnsi="宋体" w:eastAsia="宋体" w:cs="宋体"/>
          <w:bCs/>
          <w:szCs w:val="21"/>
        </w:rPr>
        <w:t>融资银行核实回款账户无误后，根据贷款协议向供应商发放贷款。</w:t>
      </w:r>
    </w:p>
    <w:p w14:paraId="1E828518">
      <w:pPr>
        <w:spacing w:line="460" w:lineRule="exact"/>
        <w:ind w:firstLine="422" w:firstLineChars="200"/>
        <w:jc w:val="left"/>
        <w:rPr>
          <w:rFonts w:hint="eastAsia" w:ascii="宋体" w:hAnsi="宋体" w:eastAsia="宋体" w:cs="宋体"/>
          <w:b/>
          <w:bCs/>
          <w:szCs w:val="21"/>
        </w:rPr>
      </w:pPr>
      <w:r>
        <w:rPr>
          <w:rFonts w:hint="eastAsia" w:ascii="宋体" w:hAnsi="宋体" w:eastAsia="宋体" w:cs="宋体"/>
          <w:b/>
          <w:bCs/>
          <w:szCs w:val="21"/>
        </w:rPr>
        <w:t>（五）、按期还款</w:t>
      </w:r>
    </w:p>
    <w:p w14:paraId="1038B3AD">
      <w:pPr>
        <w:spacing w:line="460" w:lineRule="exact"/>
        <w:ind w:firstLine="420" w:firstLineChars="200"/>
        <w:jc w:val="left"/>
        <w:rPr>
          <w:rFonts w:hint="eastAsia" w:ascii="宋体" w:hAnsi="宋体" w:eastAsia="宋体" w:cs="宋体"/>
          <w:bCs/>
          <w:szCs w:val="21"/>
        </w:rPr>
      </w:pPr>
      <w:r>
        <w:rPr>
          <w:rFonts w:hint="eastAsia" w:ascii="宋体" w:hAnsi="宋体" w:eastAsia="宋体" w:cs="宋体"/>
          <w:bCs/>
          <w:szCs w:val="21"/>
        </w:rPr>
        <w:t>合同履行完毕后，采购单位根据合同约定时间和账户在线填写支付申请，向财政部门发送支付指令，财政部门严格按照相关规定将资金支付到采购合同收款账户。</w:t>
      </w:r>
    </w:p>
    <w:p w14:paraId="6A51B209">
      <w:pPr>
        <w:spacing w:line="460" w:lineRule="exact"/>
        <w:ind w:firstLine="422" w:firstLineChars="200"/>
        <w:jc w:val="left"/>
        <w:rPr>
          <w:rFonts w:hint="eastAsia" w:ascii="宋体" w:hAnsi="宋体" w:eastAsia="宋体" w:cs="宋体"/>
          <w:b/>
          <w:bCs/>
          <w:szCs w:val="21"/>
        </w:rPr>
      </w:pPr>
      <w:r>
        <w:rPr>
          <w:rFonts w:hint="eastAsia" w:ascii="宋体" w:hAnsi="宋体" w:eastAsia="宋体" w:cs="宋体"/>
          <w:b/>
          <w:bCs/>
          <w:szCs w:val="21"/>
        </w:rPr>
        <w:t>（六）、业务终止</w:t>
      </w:r>
    </w:p>
    <w:p w14:paraId="5B27FA54">
      <w:pPr>
        <w:spacing w:line="460" w:lineRule="exact"/>
        <w:ind w:firstLine="420" w:firstLineChars="200"/>
        <w:jc w:val="left"/>
        <w:rPr>
          <w:rFonts w:hint="eastAsia" w:ascii="宋体" w:hAnsi="宋体" w:eastAsia="宋体" w:cs="宋体"/>
          <w:bCs/>
          <w:szCs w:val="21"/>
        </w:rPr>
      </w:pPr>
      <w:r>
        <w:rPr>
          <w:rFonts w:hint="eastAsia" w:ascii="宋体" w:hAnsi="宋体" w:eastAsia="宋体" w:cs="宋体"/>
          <w:bCs/>
          <w:szCs w:val="21"/>
        </w:rPr>
        <w:t>贷款偿清后，融资银行解除质押，业务终止。</w:t>
      </w:r>
    </w:p>
    <w:p w14:paraId="27BB5A69">
      <w:pPr>
        <w:spacing w:line="460" w:lineRule="exact"/>
        <w:ind w:firstLine="420" w:firstLineChars="200"/>
        <w:jc w:val="left"/>
        <w:rPr>
          <w:rFonts w:hint="eastAsia" w:ascii="宋体" w:hAnsi="宋体" w:eastAsia="宋体" w:cs="宋体"/>
          <w:b/>
          <w:bCs/>
          <w:szCs w:val="21"/>
        </w:rPr>
      </w:pPr>
      <w:r>
        <w:rPr>
          <w:rFonts w:hint="eastAsia" w:ascii="仿宋" w:hAnsi="仿宋" w:eastAsia="仿宋" w:cs="仿宋"/>
          <w:bCs/>
          <w:szCs w:val="21"/>
        </w:rPr>
        <w:br w:type="page"/>
      </w:r>
      <w:r>
        <w:rPr>
          <w:rFonts w:hint="eastAsia" w:ascii="宋体" w:hAnsi="宋体" w:eastAsia="宋体" w:cs="宋体"/>
          <w:b/>
          <w:bCs/>
          <w:szCs w:val="21"/>
        </w:rPr>
        <w:t>附件2：</w:t>
      </w:r>
    </w:p>
    <w:p w14:paraId="59882537">
      <w:pPr>
        <w:spacing w:line="460" w:lineRule="exact"/>
        <w:ind w:firstLine="422" w:firstLineChars="200"/>
        <w:jc w:val="center"/>
        <w:rPr>
          <w:rFonts w:hint="eastAsia" w:ascii="宋体" w:hAnsi="宋体" w:eastAsia="宋体" w:cs="宋体"/>
          <w:b/>
          <w:bCs/>
          <w:szCs w:val="21"/>
        </w:rPr>
      </w:pPr>
      <w:r>
        <w:rPr>
          <w:rFonts w:hint="eastAsia" w:ascii="宋体" w:hAnsi="宋体" w:eastAsia="宋体" w:cs="宋体"/>
          <w:b/>
          <w:bCs/>
          <w:szCs w:val="21"/>
        </w:rPr>
        <w:t>株洲市政府采购合同线上融资业务流程图</w:t>
      </w:r>
    </w:p>
    <w:p w14:paraId="57089C3A">
      <w:pPr>
        <w:spacing w:line="460" w:lineRule="exact"/>
        <w:ind w:firstLine="420" w:firstLineChars="200"/>
        <w:jc w:val="left"/>
        <w:rPr>
          <w:rFonts w:hint="eastAsia" w:ascii="宋体" w:hAnsi="宋体" w:eastAsia="宋体" w:cs="宋体"/>
          <w:bCs/>
          <w:szCs w:val="21"/>
        </w:rPr>
      </w:pPr>
      <w:r>
        <w:rPr>
          <w:rFonts w:hint="eastAsia" w:ascii="宋体" w:hAnsi="宋体" w:eastAsia="宋体" w:cs="宋体"/>
          <w:szCs w:val="21"/>
        </w:rPr>
        <w:drawing>
          <wp:anchor distT="0" distB="0" distL="114300" distR="114300" simplePos="0" relativeHeight="251659264" behindDoc="1" locked="0" layoutInCell="1" allowOverlap="1">
            <wp:simplePos x="0" y="0"/>
            <wp:positionH relativeFrom="column">
              <wp:align>center</wp:align>
            </wp:positionH>
            <wp:positionV relativeFrom="paragraph">
              <wp:posOffset>175260</wp:posOffset>
            </wp:positionV>
            <wp:extent cx="5707380" cy="4741545"/>
            <wp:effectExtent l="0" t="0" r="7620" b="1905"/>
            <wp:wrapTight wrapText="bothSides">
              <wp:wrapPolygon>
                <wp:start x="0" y="0"/>
                <wp:lineTo x="0" y="21522"/>
                <wp:lineTo x="21557" y="21522"/>
                <wp:lineTo x="21557" y="0"/>
                <wp:lineTo x="0" y="0"/>
              </wp:wrapPolygon>
            </wp:wrapTight>
            <wp:docPr id="10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2"/>
                    <pic:cNvPicPr>
                      <a:picLocks noChangeAspect="1"/>
                    </pic:cNvPicPr>
                  </pic:nvPicPr>
                  <pic:blipFill>
                    <a:blip r:embed="rId11"/>
                    <a:stretch>
                      <a:fillRect/>
                    </a:stretch>
                  </pic:blipFill>
                  <pic:spPr>
                    <a:xfrm>
                      <a:off x="0" y="0"/>
                      <a:ext cx="5707380" cy="4741545"/>
                    </a:xfrm>
                    <a:prstGeom prst="rect">
                      <a:avLst/>
                    </a:prstGeom>
                    <a:noFill/>
                    <a:ln>
                      <a:noFill/>
                    </a:ln>
                  </pic:spPr>
                </pic:pic>
              </a:graphicData>
            </a:graphic>
          </wp:anchor>
        </w:drawing>
      </w:r>
    </w:p>
    <w:p w14:paraId="005E3078">
      <w:pPr>
        <w:spacing w:line="460" w:lineRule="exact"/>
        <w:ind w:firstLine="420" w:firstLineChars="200"/>
        <w:jc w:val="left"/>
        <w:rPr>
          <w:rFonts w:hint="eastAsia" w:ascii="宋体" w:hAnsi="宋体" w:eastAsia="宋体" w:cs="宋体"/>
          <w:b/>
          <w:bCs/>
          <w:szCs w:val="21"/>
        </w:rPr>
      </w:pPr>
      <w:r>
        <w:rPr>
          <w:rFonts w:hint="eastAsia" w:ascii="仿宋" w:hAnsi="仿宋" w:eastAsia="仿宋" w:cs="仿宋"/>
          <w:bCs/>
          <w:szCs w:val="21"/>
        </w:rPr>
        <w:br w:type="page"/>
      </w:r>
      <w:r>
        <w:rPr>
          <w:rFonts w:hint="eastAsia" w:ascii="宋体" w:hAnsi="宋体" w:eastAsia="宋体" w:cs="宋体"/>
          <w:b/>
          <w:bCs/>
          <w:szCs w:val="21"/>
        </w:rPr>
        <w:t>附件3：</w:t>
      </w:r>
    </w:p>
    <w:p w14:paraId="38762570">
      <w:pPr>
        <w:spacing w:line="460" w:lineRule="exact"/>
        <w:ind w:firstLine="422" w:firstLineChars="200"/>
        <w:jc w:val="center"/>
        <w:rPr>
          <w:rFonts w:hint="eastAsia" w:ascii="宋体" w:hAnsi="宋体" w:eastAsia="宋体" w:cs="宋体"/>
          <w:b/>
          <w:bCs/>
          <w:szCs w:val="21"/>
        </w:rPr>
      </w:pPr>
      <w:r>
        <w:rPr>
          <w:rFonts w:hint="eastAsia" w:ascii="宋体" w:hAnsi="宋体" w:eastAsia="宋体" w:cs="宋体"/>
          <w:b/>
          <w:bCs/>
          <w:szCs w:val="21"/>
        </w:rPr>
        <w:t>株洲市政府采购合同线上融资业务办理银行联系表</w:t>
      </w:r>
    </w:p>
    <w:p w14:paraId="27871C39">
      <w:pPr>
        <w:widowControl w:val="0"/>
        <w:jc w:val="both"/>
        <w:rPr>
          <w:rFonts w:hint="eastAsia" w:ascii="仿宋" w:hAnsi="仿宋" w:eastAsia="仿宋" w:cs="仿宋"/>
          <w:kern w:val="2"/>
          <w:sz w:val="21"/>
          <w:szCs w:val="24"/>
          <w:lang w:val="zh-CN" w:eastAsia="zh-CN" w:bidi="ar-SA"/>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9"/>
        <w:gridCol w:w="3054"/>
        <w:gridCol w:w="1395"/>
        <w:gridCol w:w="3549"/>
      </w:tblGrid>
      <w:tr w14:paraId="7B7A0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9" w:type="dxa"/>
            <w:vAlign w:val="center"/>
          </w:tcPr>
          <w:p w14:paraId="0552731A">
            <w:pPr>
              <w:spacing w:line="460" w:lineRule="exact"/>
              <w:jc w:val="center"/>
              <w:rPr>
                <w:rFonts w:hint="eastAsia" w:ascii="宋体" w:hAnsi="宋体" w:eastAsia="宋体" w:cs="宋体"/>
                <w:bCs/>
                <w:szCs w:val="21"/>
              </w:rPr>
            </w:pPr>
            <w:r>
              <w:rPr>
                <w:rFonts w:hint="eastAsia" w:ascii="宋体" w:hAnsi="宋体" w:eastAsia="宋体" w:cs="宋体"/>
                <w:bCs/>
                <w:szCs w:val="21"/>
              </w:rPr>
              <w:t>序号</w:t>
            </w:r>
          </w:p>
        </w:tc>
        <w:tc>
          <w:tcPr>
            <w:tcW w:w="3054" w:type="dxa"/>
            <w:vAlign w:val="center"/>
          </w:tcPr>
          <w:p w14:paraId="47166F5B">
            <w:pPr>
              <w:spacing w:line="460" w:lineRule="exact"/>
              <w:jc w:val="center"/>
              <w:rPr>
                <w:rFonts w:hint="eastAsia" w:ascii="宋体" w:hAnsi="宋体" w:eastAsia="宋体" w:cs="宋体"/>
                <w:bCs/>
                <w:szCs w:val="21"/>
              </w:rPr>
            </w:pPr>
            <w:r>
              <w:rPr>
                <w:rFonts w:hint="eastAsia" w:ascii="宋体" w:hAnsi="宋体" w:eastAsia="宋体" w:cs="宋体"/>
                <w:bCs/>
                <w:szCs w:val="21"/>
              </w:rPr>
              <w:t>银行名称</w:t>
            </w:r>
          </w:p>
        </w:tc>
        <w:tc>
          <w:tcPr>
            <w:tcW w:w="1395" w:type="dxa"/>
            <w:vAlign w:val="center"/>
          </w:tcPr>
          <w:p w14:paraId="42BAD7C4">
            <w:pPr>
              <w:spacing w:line="460" w:lineRule="exact"/>
              <w:jc w:val="center"/>
              <w:rPr>
                <w:rFonts w:hint="eastAsia" w:ascii="宋体" w:hAnsi="宋体" w:eastAsia="宋体" w:cs="宋体"/>
                <w:bCs/>
                <w:szCs w:val="21"/>
              </w:rPr>
            </w:pPr>
            <w:r>
              <w:rPr>
                <w:rFonts w:hint="eastAsia" w:ascii="宋体" w:hAnsi="宋体" w:eastAsia="宋体" w:cs="宋体"/>
                <w:bCs/>
                <w:szCs w:val="21"/>
              </w:rPr>
              <w:t>联系人</w:t>
            </w:r>
          </w:p>
        </w:tc>
        <w:tc>
          <w:tcPr>
            <w:tcW w:w="3549" w:type="dxa"/>
            <w:vAlign w:val="center"/>
          </w:tcPr>
          <w:p w14:paraId="14F44EA6">
            <w:pPr>
              <w:spacing w:line="460" w:lineRule="exact"/>
              <w:jc w:val="center"/>
              <w:rPr>
                <w:rFonts w:hint="eastAsia" w:ascii="宋体" w:hAnsi="宋体" w:eastAsia="宋体" w:cs="宋体"/>
                <w:bCs/>
                <w:szCs w:val="21"/>
              </w:rPr>
            </w:pPr>
            <w:r>
              <w:rPr>
                <w:rFonts w:hint="eastAsia" w:ascii="宋体" w:hAnsi="宋体" w:eastAsia="宋体" w:cs="宋体"/>
                <w:bCs/>
                <w:szCs w:val="21"/>
              </w:rPr>
              <w:t>手机号码</w:t>
            </w:r>
          </w:p>
        </w:tc>
      </w:tr>
      <w:tr w14:paraId="0F257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9" w:type="dxa"/>
            <w:vAlign w:val="center"/>
          </w:tcPr>
          <w:p w14:paraId="131DE063">
            <w:pPr>
              <w:spacing w:line="460" w:lineRule="exact"/>
              <w:jc w:val="center"/>
              <w:rPr>
                <w:rFonts w:hint="eastAsia" w:ascii="宋体" w:hAnsi="宋体" w:eastAsia="宋体" w:cs="宋体"/>
                <w:bCs/>
                <w:szCs w:val="21"/>
              </w:rPr>
            </w:pPr>
            <w:r>
              <w:rPr>
                <w:rFonts w:hint="eastAsia" w:ascii="宋体" w:hAnsi="宋体" w:eastAsia="宋体" w:cs="宋体"/>
                <w:bCs/>
                <w:szCs w:val="21"/>
              </w:rPr>
              <w:t>1</w:t>
            </w:r>
          </w:p>
        </w:tc>
        <w:tc>
          <w:tcPr>
            <w:tcW w:w="3054" w:type="dxa"/>
            <w:vAlign w:val="center"/>
          </w:tcPr>
          <w:p w14:paraId="7C35E94A">
            <w:pPr>
              <w:spacing w:line="460" w:lineRule="exact"/>
              <w:jc w:val="center"/>
              <w:rPr>
                <w:rFonts w:hint="eastAsia" w:ascii="宋体" w:hAnsi="宋体" w:eastAsia="宋体" w:cs="宋体"/>
                <w:bCs/>
                <w:szCs w:val="21"/>
              </w:rPr>
            </w:pPr>
            <w:r>
              <w:rPr>
                <w:rFonts w:hint="eastAsia" w:ascii="宋体" w:hAnsi="宋体" w:eastAsia="宋体" w:cs="宋体"/>
                <w:bCs/>
                <w:szCs w:val="21"/>
              </w:rPr>
              <w:t>交通银行株洲分行</w:t>
            </w:r>
          </w:p>
        </w:tc>
        <w:tc>
          <w:tcPr>
            <w:tcW w:w="1395" w:type="dxa"/>
            <w:vAlign w:val="center"/>
          </w:tcPr>
          <w:p w14:paraId="3B43A5FB">
            <w:pPr>
              <w:spacing w:line="460" w:lineRule="exact"/>
              <w:jc w:val="center"/>
              <w:rPr>
                <w:rFonts w:hint="eastAsia" w:ascii="宋体" w:hAnsi="宋体" w:eastAsia="宋体" w:cs="宋体"/>
                <w:bCs/>
                <w:szCs w:val="21"/>
              </w:rPr>
            </w:pPr>
            <w:r>
              <w:rPr>
                <w:rFonts w:hint="eastAsia" w:ascii="宋体" w:hAnsi="宋体" w:eastAsia="宋体" w:cs="宋体"/>
                <w:bCs/>
                <w:szCs w:val="21"/>
              </w:rPr>
              <w:t>蒋  宁</w:t>
            </w:r>
          </w:p>
        </w:tc>
        <w:tc>
          <w:tcPr>
            <w:tcW w:w="3549" w:type="dxa"/>
            <w:vAlign w:val="center"/>
          </w:tcPr>
          <w:p w14:paraId="2D436FD1">
            <w:pPr>
              <w:spacing w:line="460" w:lineRule="exact"/>
              <w:jc w:val="center"/>
              <w:rPr>
                <w:rFonts w:hint="eastAsia" w:ascii="宋体" w:hAnsi="宋体" w:eastAsia="宋体" w:cs="宋体"/>
                <w:bCs/>
                <w:szCs w:val="21"/>
              </w:rPr>
            </w:pPr>
            <w:r>
              <w:rPr>
                <w:rFonts w:hint="eastAsia" w:ascii="宋体" w:hAnsi="宋体" w:eastAsia="宋体" w:cs="宋体"/>
                <w:bCs/>
                <w:szCs w:val="21"/>
              </w:rPr>
              <w:t>15873361819</w:t>
            </w:r>
          </w:p>
        </w:tc>
      </w:tr>
      <w:tr w14:paraId="2F792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9" w:type="dxa"/>
            <w:vMerge w:val="restart"/>
            <w:vAlign w:val="center"/>
          </w:tcPr>
          <w:p w14:paraId="2AA2AC37">
            <w:pPr>
              <w:spacing w:line="460" w:lineRule="exact"/>
              <w:jc w:val="center"/>
              <w:rPr>
                <w:rFonts w:hint="eastAsia" w:ascii="宋体" w:hAnsi="宋体" w:eastAsia="宋体" w:cs="宋体"/>
                <w:bCs/>
                <w:szCs w:val="21"/>
              </w:rPr>
            </w:pPr>
            <w:r>
              <w:rPr>
                <w:rFonts w:hint="eastAsia" w:ascii="宋体" w:hAnsi="宋体" w:eastAsia="宋体" w:cs="宋体"/>
                <w:bCs/>
                <w:szCs w:val="21"/>
              </w:rPr>
              <w:t>2</w:t>
            </w:r>
          </w:p>
        </w:tc>
        <w:tc>
          <w:tcPr>
            <w:tcW w:w="3054" w:type="dxa"/>
            <w:vMerge w:val="restart"/>
            <w:vAlign w:val="center"/>
          </w:tcPr>
          <w:p w14:paraId="3DB588CE">
            <w:pPr>
              <w:spacing w:line="460" w:lineRule="exact"/>
              <w:jc w:val="center"/>
              <w:rPr>
                <w:rFonts w:hint="eastAsia" w:ascii="宋体" w:hAnsi="宋体" w:eastAsia="宋体" w:cs="宋体"/>
                <w:bCs/>
                <w:szCs w:val="21"/>
              </w:rPr>
            </w:pPr>
            <w:r>
              <w:rPr>
                <w:rFonts w:hint="eastAsia" w:ascii="宋体" w:hAnsi="宋体" w:eastAsia="宋体" w:cs="宋体"/>
                <w:bCs/>
                <w:szCs w:val="21"/>
              </w:rPr>
              <w:t>长沙银行株洲分行</w:t>
            </w:r>
          </w:p>
        </w:tc>
        <w:tc>
          <w:tcPr>
            <w:tcW w:w="1395" w:type="dxa"/>
            <w:vAlign w:val="center"/>
          </w:tcPr>
          <w:p w14:paraId="784E23F8">
            <w:pPr>
              <w:spacing w:line="460" w:lineRule="exact"/>
              <w:jc w:val="center"/>
              <w:rPr>
                <w:rFonts w:hint="eastAsia" w:ascii="宋体" w:hAnsi="宋体" w:eastAsia="宋体" w:cs="宋体"/>
                <w:bCs/>
                <w:szCs w:val="21"/>
              </w:rPr>
            </w:pPr>
            <w:r>
              <w:rPr>
                <w:rFonts w:hint="eastAsia" w:ascii="宋体" w:hAnsi="宋体" w:eastAsia="宋体" w:cs="宋体"/>
                <w:bCs/>
                <w:szCs w:val="21"/>
              </w:rPr>
              <w:t>易思宇</w:t>
            </w:r>
          </w:p>
        </w:tc>
        <w:tc>
          <w:tcPr>
            <w:tcW w:w="3549" w:type="dxa"/>
            <w:vAlign w:val="center"/>
          </w:tcPr>
          <w:p w14:paraId="68C6D8D4">
            <w:pPr>
              <w:spacing w:line="460" w:lineRule="exact"/>
              <w:jc w:val="center"/>
              <w:rPr>
                <w:rFonts w:hint="eastAsia" w:ascii="宋体" w:hAnsi="宋体" w:eastAsia="宋体" w:cs="宋体"/>
                <w:bCs/>
                <w:szCs w:val="21"/>
              </w:rPr>
            </w:pPr>
            <w:r>
              <w:rPr>
                <w:rFonts w:hint="eastAsia" w:ascii="宋体" w:hAnsi="宋体" w:eastAsia="宋体" w:cs="宋体"/>
                <w:bCs/>
                <w:szCs w:val="21"/>
              </w:rPr>
              <w:t>13762316666</w:t>
            </w:r>
          </w:p>
        </w:tc>
      </w:tr>
      <w:tr w14:paraId="576C7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9" w:type="dxa"/>
            <w:vMerge w:val="continue"/>
            <w:vAlign w:val="center"/>
          </w:tcPr>
          <w:p w14:paraId="54F58FA4">
            <w:pPr>
              <w:spacing w:line="460" w:lineRule="exact"/>
              <w:jc w:val="center"/>
              <w:rPr>
                <w:rFonts w:hint="eastAsia" w:ascii="宋体" w:hAnsi="宋体" w:eastAsia="宋体" w:cs="宋体"/>
                <w:bCs/>
                <w:szCs w:val="21"/>
              </w:rPr>
            </w:pPr>
          </w:p>
        </w:tc>
        <w:tc>
          <w:tcPr>
            <w:tcW w:w="3054" w:type="dxa"/>
            <w:vMerge w:val="continue"/>
            <w:vAlign w:val="center"/>
          </w:tcPr>
          <w:p w14:paraId="6B946EF3">
            <w:pPr>
              <w:spacing w:line="460" w:lineRule="exact"/>
              <w:jc w:val="center"/>
              <w:rPr>
                <w:rFonts w:hint="eastAsia" w:ascii="宋体" w:hAnsi="宋体" w:eastAsia="宋体" w:cs="宋体"/>
                <w:bCs/>
                <w:szCs w:val="21"/>
              </w:rPr>
            </w:pPr>
          </w:p>
        </w:tc>
        <w:tc>
          <w:tcPr>
            <w:tcW w:w="1395" w:type="dxa"/>
            <w:vAlign w:val="center"/>
          </w:tcPr>
          <w:p w14:paraId="38716174">
            <w:pPr>
              <w:spacing w:line="460" w:lineRule="exact"/>
              <w:jc w:val="center"/>
              <w:rPr>
                <w:rFonts w:hint="eastAsia" w:ascii="宋体" w:hAnsi="宋体" w:eastAsia="宋体" w:cs="宋体"/>
                <w:bCs/>
                <w:szCs w:val="21"/>
              </w:rPr>
            </w:pPr>
            <w:r>
              <w:rPr>
                <w:rFonts w:hint="eastAsia" w:ascii="宋体" w:hAnsi="宋体" w:eastAsia="宋体" w:cs="宋体"/>
                <w:bCs/>
                <w:szCs w:val="21"/>
              </w:rPr>
              <w:t>曾名志</w:t>
            </w:r>
          </w:p>
        </w:tc>
        <w:tc>
          <w:tcPr>
            <w:tcW w:w="3549" w:type="dxa"/>
            <w:vAlign w:val="center"/>
          </w:tcPr>
          <w:p w14:paraId="70B47EAC">
            <w:pPr>
              <w:spacing w:line="460" w:lineRule="exact"/>
              <w:jc w:val="center"/>
              <w:rPr>
                <w:rFonts w:hint="eastAsia" w:ascii="宋体" w:hAnsi="宋体" w:eastAsia="宋体" w:cs="宋体"/>
                <w:bCs/>
                <w:szCs w:val="21"/>
              </w:rPr>
            </w:pPr>
            <w:r>
              <w:rPr>
                <w:rFonts w:hint="eastAsia" w:ascii="宋体" w:hAnsi="宋体" w:eastAsia="宋体" w:cs="宋体"/>
                <w:bCs/>
                <w:szCs w:val="21"/>
              </w:rPr>
              <w:t>13786360080</w:t>
            </w:r>
          </w:p>
        </w:tc>
      </w:tr>
      <w:tr w14:paraId="22203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9" w:type="dxa"/>
            <w:vAlign w:val="center"/>
          </w:tcPr>
          <w:p w14:paraId="780548C9">
            <w:pPr>
              <w:spacing w:line="460" w:lineRule="exact"/>
              <w:jc w:val="center"/>
              <w:rPr>
                <w:rFonts w:hint="eastAsia" w:ascii="宋体" w:hAnsi="宋体" w:eastAsia="宋体" w:cs="宋体"/>
                <w:bCs/>
                <w:szCs w:val="21"/>
              </w:rPr>
            </w:pPr>
            <w:r>
              <w:rPr>
                <w:rFonts w:hint="eastAsia" w:ascii="宋体" w:hAnsi="宋体" w:eastAsia="宋体" w:cs="宋体"/>
                <w:bCs/>
                <w:szCs w:val="21"/>
              </w:rPr>
              <w:t>3</w:t>
            </w:r>
          </w:p>
        </w:tc>
        <w:tc>
          <w:tcPr>
            <w:tcW w:w="3054" w:type="dxa"/>
            <w:vAlign w:val="center"/>
          </w:tcPr>
          <w:p w14:paraId="7DC63FA7">
            <w:pPr>
              <w:spacing w:line="460" w:lineRule="exact"/>
              <w:jc w:val="center"/>
              <w:rPr>
                <w:rFonts w:hint="eastAsia" w:ascii="宋体" w:hAnsi="宋体" w:eastAsia="宋体" w:cs="宋体"/>
                <w:bCs/>
                <w:szCs w:val="21"/>
              </w:rPr>
            </w:pPr>
            <w:r>
              <w:rPr>
                <w:rFonts w:hint="eastAsia" w:ascii="宋体" w:hAnsi="宋体" w:eastAsia="宋体" w:cs="宋体"/>
                <w:bCs/>
                <w:szCs w:val="21"/>
              </w:rPr>
              <w:t>农业银行株洲分行开发区支行</w:t>
            </w:r>
          </w:p>
        </w:tc>
        <w:tc>
          <w:tcPr>
            <w:tcW w:w="1395" w:type="dxa"/>
            <w:vAlign w:val="center"/>
          </w:tcPr>
          <w:p w14:paraId="3984D497">
            <w:pPr>
              <w:spacing w:line="460" w:lineRule="exact"/>
              <w:jc w:val="center"/>
              <w:rPr>
                <w:rFonts w:hint="eastAsia" w:ascii="宋体" w:hAnsi="宋体" w:eastAsia="宋体" w:cs="宋体"/>
                <w:bCs/>
                <w:szCs w:val="21"/>
              </w:rPr>
            </w:pPr>
            <w:r>
              <w:rPr>
                <w:rFonts w:hint="eastAsia" w:ascii="宋体" w:hAnsi="宋体" w:eastAsia="宋体" w:cs="宋体"/>
                <w:bCs/>
                <w:szCs w:val="21"/>
              </w:rPr>
              <w:t>张启慧</w:t>
            </w:r>
          </w:p>
        </w:tc>
        <w:tc>
          <w:tcPr>
            <w:tcW w:w="3549" w:type="dxa"/>
            <w:vAlign w:val="center"/>
          </w:tcPr>
          <w:p w14:paraId="37DC867D">
            <w:pPr>
              <w:spacing w:line="460" w:lineRule="exact"/>
              <w:jc w:val="center"/>
              <w:rPr>
                <w:rFonts w:hint="eastAsia" w:ascii="宋体" w:hAnsi="宋体" w:eastAsia="宋体" w:cs="宋体"/>
                <w:bCs/>
                <w:szCs w:val="21"/>
              </w:rPr>
            </w:pPr>
            <w:r>
              <w:rPr>
                <w:rFonts w:hint="eastAsia" w:ascii="宋体" w:hAnsi="宋体" w:eastAsia="宋体" w:cs="宋体"/>
                <w:bCs/>
                <w:szCs w:val="21"/>
              </w:rPr>
              <w:t>15973336667</w:t>
            </w:r>
          </w:p>
        </w:tc>
      </w:tr>
      <w:tr w14:paraId="72341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9" w:type="dxa"/>
            <w:vAlign w:val="center"/>
          </w:tcPr>
          <w:p w14:paraId="48E67543">
            <w:pPr>
              <w:spacing w:line="460" w:lineRule="exact"/>
              <w:jc w:val="center"/>
              <w:rPr>
                <w:rFonts w:hint="eastAsia" w:ascii="宋体" w:hAnsi="宋体" w:eastAsia="宋体" w:cs="宋体"/>
                <w:bCs/>
                <w:szCs w:val="21"/>
              </w:rPr>
            </w:pPr>
            <w:r>
              <w:rPr>
                <w:rFonts w:hint="eastAsia" w:ascii="宋体" w:hAnsi="宋体" w:eastAsia="宋体" w:cs="宋体"/>
                <w:bCs/>
                <w:szCs w:val="21"/>
              </w:rPr>
              <w:t>4</w:t>
            </w:r>
          </w:p>
        </w:tc>
        <w:tc>
          <w:tcPr>
            <w:tcW w:w="3054" w:type="dxa"/>
            <w:vAlign w:val="center"/>
          </w:tcPr>
          <w:p w14:paraId="4C2D5A2A">
            <w:pPr>
              <w:spacing w:line="460" w:lineRule="exact"/>
              <w:jc w:val="center"/>
              <w:rPr>
                <w:rFonts w:hint="eastAsia" w:ascii="宋体" w:hAnsi="宋体" w:eastAsia="宋体" w:cs="宋体"/>
                <w:bCs/>
                <w:szCs w:val="21"/>
                <w:lang w:val="ru-RU" w:eastAsia="ru-RU"/>
              </w:rPr>
            </w:pPr>
            <w:r>
              <w:rPr>
                <w:rFonts w:hint="eastAsia" w:ascii="宋体" w:hAnsi="宋体" w:eastAsia="宋体" w:cs="宋体"/>
                <w:bCs/>
                <w:szCs w:val="21"/>
              </w:rPr>
              <w:t>兴业银行株洲分行</w:t>
            </w:r>
          </w:p>
        </w:tc>
        <w:tc>
          <w:tcPr>
            <w:tcW w:w="1395" w:type="dxa"/>
            <w:vAlign w:val="center"/>
          </w:tcPr>
          <w:p w14:paraId="02E8DA66">
            <w:pPr>
              <w:spacing w:line="460" w:lineRule="exact"/>
              <w:jc w:val="center"/>
              <w:rPr>
                <w:rFonts w:hint="eastAsia" w:ascii="宋体" w:hAnsi="宋体" w:eastAsia="宋体" w:cs="宋体"/>
                <w:bCs/>
                <w:szCs w:val="21"/>
                <w:lang w:val="ru-RU" w:eastAsia="ru-RU"/>
              </w:rPr>
            </w:pPr>
            <w:r>
              <w:rPr>
                <w:rFonts w:hint="eastAsia" w:ascii="宋体" w:hAnsi="宋体" w:eastAsia="宋体" w:cs="宋体"/>
                <w:bCs/>
                <w:szCs w:val="21"/>
              </w:rPr>
              <w:t>张  维</w:t>
            </w:r>
          </w:p>
        </w:tc>
        <w:tc>
          <w:tcPr>
            <w:tcW w:w="3549" w:type="dxa"/>
            <w:vAlign w:val="center"/>
          </w:tcPr>
          <w:p w14:paraId="3A0F2610">
            <w:pPr>
              <w:spacing w:line="460" w:lineRule="exact"/>
              <w:jc w:val="center"/>
              <w:rPr>
                <w:rFonts w:hint="eastAsia" w:ascii="宋体" w:hAnsi="宋体" w:eastAsia="宋体" w:cs="宋体"/>
                <w:bCs/>
                <w:szCs w:val="21"/>
                <w:lang w:val="ru-RU" w:eastAsia="ru-RU"/>
              </w:rPr>
            </w:pPr>
            <w:r>
              <w:rPr>
                <w:rFonts w:hint="eastAsia" w:ascii="宋体" w:hAnsi="宋体" w:eastAsia="宋体" w:cs="宋体"/>
                <w:bCs/>
                <w:szCs w:val="21"/>
              </w:rPr>
              <w:t>13807312821</w:t>
            </w:r>
          </w:p>
        </w:tc>
      </w:tr>
      <w:tr w14:paraId="5BCAD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9" w:type="dxa"/>
            <w:vAlign w:val="center"/>
          </w:tcPr>
          <w:p w14:paraId="537DD703">
            <w:pPr>
              <w:spacing w:line="460" w:lineRule="exact"/>
              <w:jc w:val="center"/>
              <w:rPr>
                <w:rFonts w:hint="eastAsia" w:ascii="宋体" w:hAnsi="宋体" w:eastAsia="宋体" w:cs="宋体"/>
                <w:bCs/>
                <w:szCs w:val="21"/>
              </w:rPr>
            </w:pPr>
            <w:r>
              <w:rPr>
                <w:rFonts w:hint="eastAsia" w:ascii="宋体" w:hAnsi="宋体" w:eastAsia="宋体" w:cs="宋体"/>
                <w:bCs/>
                <w:szCs w:val="21"/>
              </w:rPr>
              <w:t>5</w:t>
            </w:r>
          </w:p>
        </w:tc>
        <w:tc>
          <w:tcPr>
            <w:tcW w:w="3054" w:type="dxa"/>
            <w:vAlign w:val="center"/>
          </w:tcPr>
          <w:p w14:paraId="1DAE75B8">
            <w:pPr>
              <w:spacing w:line="460" w:lineRule="exact"/>
              <w:jc w:val="center"/>
              <w:rPr>
                <w:rFonts w:hint="eastAsia" w:ascii="宋体" w:hAnsi="宋体" w:eastAsia="宋体" w:cs="宋体"/>
                <w:bCs/>
                <w:szCs w:val="21"/>
                <w:lang w:val="ru-RU" w:eastAsia="ru-RU"/>
              </w:rPr>
            </w:pPr>
            <w:r>
              <w:rPr>
                <w:rFonts w:hint="eastAsia" w:ascii="宋体" w:hAnsi="宋体" w:eastAsia="宋体" w:cs="宋体"/>
                <w:bCs/>
                <w:szCs w:val="21"/>
              </w:rPr>
              <w:t>渤海银行株洲分行</w:t>
            </w:r>
          </w:p>
        </w:tc>
        <w:tc>
          <w:tcPr>
            <w:tcW w:w="1395" w:type="dxa"/>
            <w:vAlign w:val="center"/>
          </w:tcPr>
          <w:p w14:paraId="48E6CF56">
            <w:pPr>
              <w:spacing w:line="460" w:lineRule="exact"/>
              <w:jc w:val="center"/>
              <w:rPr>
                <w:rFonts w:hint="eastAsia" w:ascii="宋体" w:hAnsi="宋体" w:eastAsia="宋体" w:cs="宋体"/>
                <w:bCs/>
                <w:szCs w:val="21"/>
                <w:lang w:eastAsia="ru-RU"/>
              </w:rPr>
            </w:pPr>
            <w:r>
              <w:rPr>
                <w:rFonts w:hint="eastAsia" w:ascii="宋体" w:hAnsi="宋体" w:eastAsia="宋体" w:cs="宋体"/>
                <w:bCs/>
                <w:szCs w:val="21"/>
              </w:rPr>
              <w:t>颜  震</w:t>
            </w:r>
          </w:p>
        </w:tc>
        <w:tc>
          <w:tcPr>
            <w:tcW w:w="3549" w:type="dxa"/>
            <w:vAlign w:val="center"/>
          </w:tcPr>
          <w:p w14:paraId="59ACF89F">
            <w:pPr>
              <w:spacing w:line="460" w:lineRule="exact"/>
              <w:jc w:val="center"/>
              <w:rPr>
                <w:rFonts w:hint="eastAsia" w:ascii="宋体" w:hAnsi="宋体" w:eastAsia="宋体" w:cs="宋体"/>
                <w:bCs/>
                <w:szCs w:val="21"/>
                <w:lang w:eastAsia="ru-RU"/>
              </w:rPr>
            </w:pPr>
            <w:r>
              <w:rPr>
                <w:rFonts w:hint="eastAsia" w:ascii="宋体" w:hAnsi="宋体" w:eastAsia="宋体" w:cs="宋体"/>
                <w:bCs/>
                <w:szCs w:val="21"/>
              </w:rPr>
              <w:t>15673330011</w:t>
            </w:r>
          </w:p>
        </w:tc>
      </w:tr>
      <w:tr w14:paraId="36EE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9" w:type="dxa"/>
            <w:vAlign w:val="center"/>
          </w:tcPr>
          <w:p w14:paraId="0FE2B5E7">
            <w:pPr>
              <w:spacing w:line="460" w:lineRule="exact"/>
              <w:jc w:val="center"/>
              <w:rPr>
                <w:rFonts w:hint="eastAsia" w:ascii="宋体" w:hAnsi="宋体" w:eastAsia="宋体" w:cs="宋体"/>
                <w:bCs/>
                <w:szCs w:val="21"/>
              </w:rPr>
            </w:pPr>
            <w:r>
              <w:rPr>
                <w:rFonts w:hint="eastAsia" w:ascii="宋体" w:hAnsi="宋体" w:eastAsia="宋体" w:cs="宋体"/>
                <w:bCs/>
                <w:szCs w:val="21"/>
              </w:rPr>
              <w:t>6</w:t>
            </w:r>
          </w:p>
        </w:tc>
        <w:tc>
          <w:tcPr>
            <w:tcW w:w="3054" w:type="dxa"/>
            <w:vAlign w:val="center"/>
          </w:tcPr>
          <w:p w14:paraId="07690B21">
            <w:pPr>
              <w:spacing w:line="460" w:lineRule="exact"/>
              <w:jc w:val="center"/>
              <w:rPr>
                <w:rFonts w:hint="eastAsia" w:ascii="宋体" w:hAnsi="宋体" w:eastAsia="宋体" w:cs="宋体"/>
                <w:bCs/>
                <w:szCs w:val="21"/>
                <w:lang w:val="ru-RU" w:eastAsia="ru-RU"/>
              </w:rPr>
            </w:pPr>
            <w:r>
              <w:rPr>
                <w:rFonts w:hint="eastAsia" w:ascii="宋体" w:hAnsi="宋体" w:eastAsia="宋体" w:cs="宋体"/>
                <w:bCs/>
                <w:szCs w:val="21"/>
              </w:rPr>
              <w:t>浦发银行株洲分行</w:t>
            </w:r>
          </w:p>
        </w:tc>
        <w:tc>
          <w:tcPr>
            <w:tcW w:w="1395" w:type="dxa"/>
            <w:vAlign w:val="center"/>
          </w:tcPr>
          <w:p w14:paraId="63DCAAE8">
            <w:pPr>
              <w:spacing w:line="460" w:lineRule="exact"/>
              <w:jc w:val="center"/>
              <w:rPr>
                <w:rFonts w:hint="eastAsia" w:ascii="宋体" w:hAnsi="宋体" w:eastAsia="宋体" w:cs="宋体"/>
                <w:bCs/>
                <w:szCs w:val="21"/>
              </w:rPr>
            </w:pPr>
            <w:r>
              <w:rPr>
                <w:rFonts w:hint="eastAsia" w:ascii="宋体" w:hAnsi="宋体" w:eastAsia="宋体" w:cs="宋体"/>
                <w:bCs/>
                <w:szCs w:val="21"/>
              </w:rPr>
              <w:t>蔡  晨</w:t>
            </w:r>
          </w:p>
        </w:tc>
        <w:tc>
          <w:tcPr>
            <w:tcW w:w="3549" w:type="dxa"/>
            <w:vAlign w:val="center"/>
          </w:tcPr>
          <w:p w14:paraId="23956FC8">
            <w:pPr>
              <w:spacing w:line="460" w:lineRule="exact"/>
              <w:jc w:val="center"/>
              <w:rPr>
                <w:rFonts w:hint="eastAsia" w:ascii="宋体" w:hAnsi="宋体" w:eastAsia="宋体" w:cs="宋体"/>
                <w:bCs/>
                <w:szCs w:val="21"/>
                <w:lang w:eastAsia="ru-RU"/>
              </w:rPr>
            </w:pPr>
            <w:r>
              <w:rPr>
                <w:rFonts w:hint="eastAsia" w:ascii="宋体" w:hAnsi="宋体" w:eastAsia="宋体" w:cs="宋体"/>
                <w:bCs/>
                <w:szCs w:val="21"/>
              </w:rPr>
              <w:t>19907493171、28661018</w:t>
            </w:r>
          </w:p>
        </w:tc>
      </w:tr>
    </w:tbl>
    <w:p w14:paraId="67B15B5C">
      <w:pPr>
        <w:spacing w:line="460" w:lineRule="exact"/>
        <w:ind w:firstLine="420" w:firstLineChars="200"/>
        <w:jc w:val="left"/>
        <w:rPr>
          <w:rFonts w:hint="eastAsia" w:ascii="仿宋" w:hAnsi="仿宋" w:eastAsia="仿宋" w:cs="仿宋"/>
          <w:bCs/>
          <w:szCs w:val="21"/>
        </w:rPr>
      </w:pPr>
    </w:p>
    <w:p w14:paraId="1A0ACE96">
      <w:pPr>
        <w:widowControl w:val="0"/>
        <w:ind w:firstLine="422" w:firstLineChars="200"/>
        <w:jc w:val="both"/>
        <w:rPr>
          <w:rFonts w:ascii="Calibri" w:hAnsi="Calibri" w:eastAsia="宋体" w:cs="Times New Roman"/>
          <w:b/>
          <w:kern w:val="2"/>
          <w:sz w:val="21"/>
          <w:szCs w:val="22"/>
          <w:lang w:val="en-US" w:eastAsia="zh-CN" w:bidi="ar-SA"/>
        </w:rPr>
      </w:pPr>
    </w:p>
    <w:p w14:paraId="2BA41521">
      <w:pPr>
        <w:adjustRightInd w:val="0"/>
        <w:snapToGrid w:val="0"/>
        <w:spacing w:before="161" w:beforeLines="50" w:line="360" w:lineRule="auto"/>
        <w:ind w:firstLine="420" w:firstLineChars="200"/>
        <w:jc w:val="left"/>
        <w:rPr>
          <w:rFonts w:hint="eastAsia" w:ascii="宋体" w:hAnsi="宋体" w:eastAsia="宋体" w:cs="宋体"/>
          <w:szCs w:val="21"/>
        </w:rPr>
      </w:pPr>
    </w:p>
    <w:p w14:paraId="50CB5526">
      <w:pPr>
        <w:rPr>
          <w:rFonts w:hint="eastAsia" w:ascii="宋体" w:hAnsi="宋体" w:eastAsia="宋体" w:cs="宋体"/>
          <w:sz w:val="32"/>
          <w:szCs w:val="32"/>
        </w:rPr>
      </w:pPr>
      <w:r>
        <w:rPr>
          <w:rFonts w:hint="eastAsia" w:ascii="宋体" w:hAnsi="宋体" w:eastAsia="宋体" w:cs="宋体"/>
          <w:sz w:val="32"/>
          <w:szCs w:val="32"/>
        </w:rPr>
        <w:br w:type="page"/>
      </w:r>
    </w:p>
    <w:p w14:paraId="238E7B8E">
      <w:pPr>
        <w:keepNext/>
        <w:widowControl w:val="0"/>
        <w:jc w:val="center"/>
        <w:outlineLvl w:val="0"/>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第三章 资格审查</w:t>
      </w:r>
      <w:bookmarkEnd w:id="44"/>
    </w:p>
    <w:p w14:paraId="2C26CDE1">
      <w:pPr>
        <w:keepNext/>
        <w:keepLines/>
        <w:widowControl w:val="0"/>
        <w:adjustRightInd w:val="0"/>
        <w:snapToGrid w:val="0"/>
        <w:spacing w:before="161" w:beforeLines="50" w:after="0" w:line="360" w:lineRule="auto"/>
        <w:jc w:val="both"/>
        <w:outlineLvl w:val="2"/>
        <w:rPr>
          <w:rFonts w:hint="eastAsia" w:ascii="宋体" w:hAnsi="宋体" w:eastAsia="宋体" w:cs="宋体"/>
          <w:b/>
          <w:bCs/>
          <w:kern w:val="2"/>
          <w:sz w:val="24"/>
          <w:szCs w:val="24"/>
          <w:lang w:val="en-US" w:eastAsia="zh-CN" w:bidi="ar-SA"/>
        </w:rPr>
      </w:pPr>
      <w:bookmarkStart w:id="45" w:name="_Toc1546"/>
      <w:r>
        <w:rPr>
          <w:rFonts w:hint="eastAsia" w:ascii="宋体" w:hAnsi="宋体" w:eastAsia="宋体" w:cs="宋体"/>
          <w:b/>
          <w:bCs/>
          <w:kern w:val="2"/>
          <w:sz w:val="24"/>
          <w:szCs w:val="24"/>
          <w:lang w:val="en-US" w:eastAsia="zh-CN" w:bidi="ar-SA"/>
        </w:rPr>
        <w:t>1．资格审查主体</w:t>
      </w:r>
      <w:bookmarkEnd w:id="45"/>
    </w:p>
    <w:p w14:paraId="67B4FBAA">
      <w:pPr>
        <w:adjustRightInd w:val="0"/>
        <w:snapToGrid w:val="0"/>
        <w:spacing w:before="161" w:beforeLines="50" w:line="360" w:lineRule="auto"/>
        <w:ind w:firstLine="417" w:firstLineChars="199"/>
        <w:jc w:val="left"/>
        <w:rPr>
          <w:rFonts w:hint="eastAsia" w:ascii="宋体" w:hAnsi="宋体" w:eastAsia="宋体" w:cs="宋体"/>
          <w:szCs w:val="21"/>
        </w:rPr>
      </w:pPr>
      <w:r>
        <w:rPr>
          <w:rFonts w:hint="eastAsia" w:ascii="宋体" w:hAnsi="宋体" w:eastAsia="宋体" w:cs="宋体"/>
          <w:szCs w:val="21"/>
        </w:rPr>
        <w:t>1.1资格审查主体：采购人、采购代理机构负责资格审查。</w:t>
      </w:r>
    </w:p>
    <w:p w14:paraId="25279B2D">
      <w:pPr>
        <w:keepNext/>
        <w:keepLines/>
        <w:widowControl w:val="0"/>
        <w:adjustRightInd w:val="0"/>
        <w:snapToGrid w:val="0"/>
        <w:spacing w:before="161" w:beforeLines="50" w:after="0" w:line="360" w:lineRule="auto"/>
        <w:jc w:val="both"/>
        <w:outlineLvl w:val="2"/>
        <w:rPr>
          <w:rFonts w:hint="eastAsia" w:ascii="宋体" w:hAnsi="宋体" w:eastAsia="宋体" w:cs="宋体"/>
          <w:b/>
          <w:bCs/>
          <w:kern w:val="2"/>
          <w:sz w:val="24"/>
          <w:szCs w:val="24"/>
          <w:lang w:val="en-US" w:eastAsia="zh-CN" w:bidi="ar-SA"/>
        </w:rPr>
      </w:pPr>
      <w:bookmarkStart w:id="46" w:name="_Toc5628"/>
      <w:r>
        <w:rPr>
          <w:rFonts w:hint="eastAsia" w:ascii="宋体" w:hAnsi="宋体" w:eastAsia="宋体" w:cs="宋体"/>
          <w:b/>
          <w:bCs/>
          <w:kern w:val="2"/>
          <w:sz w:val="24"/>
          <w:szCs w:val="24"/>
          <w:lang w:val="en-US" w:eastAsia="zh-CN" w:bidi="ar-SA"/>
        </w:rPr>
        <w:t>2．资格审查</w:t>
      </w:r>
      <w:bookmarkEnd w:id="46"/>
    </w:p>
    <w:p w14:paraId="7B78CED5">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2.1资格审查依据法律法规和招标文件的规定，对投标文件中的资格证明文件、投标保证金、投标报价等进行审查，以确定投标投标人是否具备投标资格。</w:t>
      </w:r>
    </w:p>
    <w:p w14:paraId="64A3B823">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2.2采购人、采购代理机构按本章附表1“资格审查表”所列审查项目及审查标准，对投标人资格进行审查。</w:t>
      </w:r>
    </w:p>
    <w:p w14:paraId="77DC132B">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2.3在资格审查时，投标人存在下列情况之一的，资格审查不合格，其投标无效：</w:t>
      </w:r>
    </w:p>
    <w:p w14:paraId="50D84D82">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（1）不具备招标文件中规定的资格要求的，或提交的资格证明文件不符合招标文件要求的；</w:t>
      </w:r>
    </w:p>
    <w:p w14:paraId="15225BDB">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（2）联合体投标未提交联合体协议书，或未提交联合体各方资格证明文件的；</w:t>
      </w:r>
    </w:p>
    <w:p w14:paraId="622A9C0D">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（3）投标文件的资格证明文件未按照招标文件要求签署、盖章的；</w:t>
      </w:r>
    </w:p>
    <w:p w14:paraId="17B1811B">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（4）未按照招标文件的规定提交投标保证金的。</w:t>
      </w:r>
    </w:p>
    <w:p w14:paraId="0FB2AF3F">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（5）投标报价超过招标文件中规定的预算金额或者最高限价的；</w:t>
      </w:r>
    </w:p>
    <w:p w14:paraId="54F9AD79">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（6）法律、法规和招标文件规定的其他投标无效情形的。</w:t>
      </w:r>
    </w:p>
    <w:p w14:paraId="0980CD88">
      <w:pPr>
        <w:adjustRightInd w:val="0"/>
        <w:snapToGrid w:val="0"/>
        <w:spacing w:before="161" w:beforeLines="50" w:line="360" w:lineRule="auto"/>
        <w:ind w:firstLine="420" w:firstLineChars="200"/>
        <w:jc w:val="left"/>
        <w:rPr>
          <w:rFonts w:hint="eastAsia" w:ascii="宋体" w:hAnsi="宋体" w:eastAsia="宋体" w:cs="宋体"/>
          <w:b/>
          <w:sz w:val="32"/>
          <w:szCs w:val="32"/>
        </w:rPr>
      </w:pPr>
      <w:r>
        <w:rPr>
          <w:rFonts w:hint="eastAsia" w:ascii="宋体" w:hAnsi="宋体" w:eastAsia="宋体" w:cs="宋体"/>
        </w:rPr>
        <w:t>2.4信用记录。开标结束后</w:t>
      </w:r>
      <w:r>
        <w:rPr>
          <w:rFonts w:hint="eastAsia" w:ascii="宋体" w:hAnsi="宋体" w:eastAsia="宋体" w:cs="宋体"/>
          <w:szCs w:val="21"/>
        </w:rPr>
        <w:t>资格审查时，采购人、采购代理机构将对投标人信用记录进行甄别。</w:t>
      </w:r>
    </w:p>
    <w:p w14:paraId="2D599454">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（1）信用信息查询的查询渠道：信用中国网（www.creditchina.gov.cn）、中国政府采购网（www.ccgp.gov.cn）；</w:t>
      </w:r>
    </w:p>
    <w:p w14:paraId="609C1DA6">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不良信用记录是指：投标人在“信用中国”网站被列入失信被执行人和重大税收违法案件当事人名单，或在“中国政府采购网”网站被列入政府采购严重违法失信行为记录名单。投标人有上述不良信用记录的，其</w:t>
      </w:r>
      <w:r>
        <w:rPr>
          <w:rFonts w:hint="eastAsia" w:ascii="宋体" w:hAnsi="宋体" w:eastAsia="宋体" w:cs="宋体"/>
          <w:b/>
          <w:bCs/>
          <w:szCs w:val="21"/>
        </w:rPr>
        <w:t>投标无效</w:t>
      </w:r>
      <w:r>
        <w:rPr>
          <w:rFonts w:hint="eastAsia" w:ascii="宋体" w:hAnsi="宋体" w:eastAsia="宋体" w:cs="宋体"/>
          <w:szCs w:val="21"/>
        </w:rPr>
        <w:t>，其中，列入政府采购严重违法失信行为记录名单的，按处罚结果执行。</w:t>
      </w:r>
    </w:p>
    <w:p w14:paraId="602A5FEA">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（3）联合体形式投标的，联合体成员存在不良信用记录的，视同联合体存在不良信用记录。</w:t>
      </w:r>
    </w:p>
    <w:p w14:paraId="54AE8274">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4）信用信息查询记录和证据留存具体方式：采购人、采购代理机构经办人将查询网页截图、打印、签字，作为查询记录和证据，与其他采购文件一并保存。投标人不良信用记录以采购人、采购代理机构查询结果为准。</w:t>
      </w:r>
    </w:p>
    <w:p w14:paraId="45CF6BF0">
      <w:pPr>
        <w:keepNext/>
        <w:keepLines/>
        <w:widowControl w:val="0"/>
        <w:adjustRightInd w:val="0"/>
        <w:snapToGrid w:val="0"/>
        <w:spacing w:before="161" w:beforeLines="50" w:after="0" w:line="360" w:lineRule="auto"/>
        <w:jc w:val="both"/>
        <w:outlineLvl w:val="2"/>
        <w:rPr>
          <w:rFonts w:hint="eastAsia" w:ascii="宋体" w:hAnsi="宋体" w:eastAsia="宋体" w:cs="宋体"/>
          <w:b/>
          <w:bCs/>
          <w:kern w:val="2"/>
          <w:sz w:val="24"/>
          <w:szCs w:val="24"/>
          <w:lang w:val="en-US" w:eastAsia="zh-CN" w:bidi="ar-SA"/>
        </w:rPr>
      </w:pPr>
      <w:bookmarkStart w:id="47" w:name="_Toc13527"/>
      <w:r>
        <w:rPr>
          <w:rFonts w:hint="eastAsia" w:ascii="宋体" w:hAnsi="宋体" w:eastAsia="宋体" w:cs="宋体"/>
          <w:b/>
          <w:bCs/>
          <w:kern w:val="2"/>
          <w:sz w:val="24"/>
          <w:szCs w:val="24"/>
          <w:lang w:val="en-US" w:eastAsia="zh-CN" w:bidi="ar-SA"/>
        </w:rPr>
        <w:t>3．资格审查结果</w:t>
      </w:r>
      <w:bookmarkEnd w:id="47"/>
    </w:p>
    <w:p w14:paraId="416CC12F">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3.1未通过资格审查的投标人，采购人、采购代理机构应当告知其未通过的原因。</w:t>
      </w:r>
    </w:p>
    <w:p w14:paraId="043C109A">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3.2资格审查结束后，采购人、采购代理机构应将资格审查结果告知评标委员会。</w:t>
      </w:r>
    </w:p>
    <w:p w14:paraId="0F55A656">
      <w:pPr>
        <w:rPr>
          <w:rFonts w:hint="eastAsia" w:ascii="宋体" w:hAnsi="宋体" w:eastAsia="宋体" w:cs="宋体"/>
          <w:szCs w:val="21"/>
        </w:rPr>
      </w:pPr>
      <w:bookmarkStart w:id="48" w:name="_Toc31461"/>
      <w:r>
        <w:rPr>
          <w:rFonts w:hint="eastAsia" w:ascii="宋体" w:hAnsi="宋体" w:eastAsia="宋体" w:cs="宋体"/>
          <w:szCs w:val="21"/>
        </w:rPr>
        <w:br w:type="page"/>
      </w:r>
      <w:bookmarkEnd w:id="1"/>
    </w:p>
    <w:p w14:paraId="63DAE22B">
      <w:pPr>
        <w:keepNext/>
        <w:keepLines/>
        <w:widowControl w:val="0"/>
        <w:adjustRightInd w:val="0"/>
        <w:snapToGrid w:val="0"/>
        <w:spacing w:before="0" w:after="0" w:line="360" w:lineRule="auto"/>
        <w:jc w:val="both"/>
        <w:outlineLvl w:val="3"/>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附表1资格审查表</w:t>
      </w:r>
      <w:bookmarkEnd w:id="48"/>
    </w:p>
    <w:p w14:paraId="5F237CE9">
      <w:pPr>
        <w:adjustRightInd w:val="0"/>
        <w:snapToGrid w:val="0"/>
        <w:spacing w:line="360" w:lineRule="auto"/>
        <w:jc w:val="center"/>
        <w:rPr>
          <w:rFonts w:hint="eastAsia" w:ascii="宋体" w:hAnsi="宋体" w:eastAsia="宋体" w:cs="宋体"/>
          <w:b/>
          <w:sz w:val="28"/>
          <w:szCs w:val="28"/>
        </w:rPr>
      </w:pPr>
      <w:r>
        <w:rPr>
          <w:rFonts w:hint="eastAsia" w:ascii="宋体" w:hAnsi="宋体" w:eastAsia="宋体" w:cs="宋体"/>
          <w:b/>
          <w:sz w:val="28"/>
          <w:szCs w:val="28"/>
        </w:rPr>
        <w:t>资格审查表</w:t>
      </w:r>
    </w:p>
    <w:p w14:paraId="6F7BE90F">
      <w:pPr>
        <w:adjustRightInd w:val="0"/>
        <w:snapToGrid w:val="0"/>
        <w:spacing w:line="360" w:lineRule="auto"/>
        <w:rPr>
          <w:rFonts w:hint="eastAsia" w:ascii="宋体" w:hAnsi="宋体" w:eastAsia="宋体" w:cs="宋体"/>
          <w:sz w:val="28"/>
          <w:szCs w:val="28"/>
        </w:rPr>
      </w:pPr>
      <w:r>
        <w:rPr>
          <w:rFonts w:hint="eastAsia" w:ascii="宋体" w:hAnsi="宋体" w:eastAsia="宋体" w:cs="宋体"/>
          <w:szCs w:val="21"/>
        </w:rPr>
        <w:t>项目名称：</w:t>
      </w:r>
      <w:r>
        <w:rPr>
          <w:rFonts w:hint="eastAsia" w:ascii="宋体" w:hAnsi="宋体" w:eastAsia="宋体" w:cs="宋体"/>
          <w:szCs w:val="21"/>
          <w:u w:val="single"/>
        </w:rPr>
        <w:t xml:space="preserve">       </w:t>
      </w:r>
      <w:r>
        <w:rPr>
          <w:rFonts w:hint="eastAsia" w:ascii="宋体" w:hAnsi="宋体" w:eastAsia="宋体" w:cs="宋体"/>
          <w:szCs w:val="21"/>
        </w:rPr>
        <w:t xml:space="preserve">                                          采购代理编号：</w:t>
      </w:r>
      <w:r>
        <w:rPr>
          <w:rFonts w:hint="eastAsia" w:ascii="宋体" w:hAnsi="宋体" w:eastAsia="宋体" w:cs="宋体"/>
          <w:szCs w:val="21"/>
          <w:u w:val="single"/>
        </w:rPr>
        <w:t xml:space="preserve">       </w:t>
      </w:r>
    </w:p>
    <w:tbl>
      <w:tblPr>
        <w:tblStyle w:val="3"/>
        <w:tblW w:w="906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83"/>
        <w:gridCol w:w="3247"/>
        <w:gridCol w:w="5130"/>
      </w:tblGrid>
      <w:tr w14:paraId="3D6F0C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683" w:type="dxa"/>
            <w:tcBorders>
              <w:tl2br w:val="nil"/>
              <w:tr2bl w:val="nil"/>
            </w:tcBorders>
            <w:vAlign w:val="center"/>
          </w:tcPr>
          <w:p w14:paraId="7FA8CC4C">
            <w:pPr>
              <w:adjustRightInd w:val="0"/>
              <w:snapToGrid w:val="0"/>
              <w:spacing w:before="161" w:beforeLines="50" w:line="360" w:lineRule="auto"/>
              <w:jc w:val="center"/>
              <w:rPr>
                <w:rFonts w:hint="eastAsia" w:ascii="宋体" w:hAnsi="宋体" w:eastAsia="宋体" w:cs="宋体"/>
                <w:b/>
                <w:kern w:val="0"/>
                <w:szCs w:val="21"/>
              </w:rPr>
            </w:pPr>
            <w:bookmarkStart w:id="49" w:name="OLE_LINK192" w:colFirst="1" w:colLast="2"/>
            <w:r>
              <w:rPr>
                <w:rFonts w:hint="eastAsia" w:ascii="宋体" w:hAnsi="宋体" w:eastAsia="宋体" w:cs="宋体"/>
                <w:b/>
                <w:kern w:val="0"/>
                <w:szCs w:val="21"/>
              </w:rPr>
              <w:t>序号</w:t>
            </w:r>
          </w:p>
        </w:tc>
        <w:tc>
          <w:tcPr>
            <w:tcW w:w="3247" w:type="dxa"/>
            <w:tcBorders>
              <w:tl2br w:val="nil"/>
              <w:tr2bl w:val="nil"/>
            </w:tcBorders>
            <w:vAlign w:val="center"/>
          </w:tcPr>
          <w:p w14:paraId="09B27686">
            <w:pPr>
              <w:adjustRightInd w:val="0"/>
              <w:snapToGrid w:val="0"/>
              <w:spacing w:before="161" w:beforeLines="50" w:line="360" w:lineRule="auto"/>
              <w:jc w:val="center"/>
              <w:rPr>
                <w:rFonts w:hint="eastAsia" w:ascii="宋体" w:hAnsi="宋体" w:eastAsia="宋体" w:cs="宋体"/>
                <w:b/>
                <w:kern w:val="0"/>
                <w:szCs w:val="21"/>
              </w:rPr>
            </w:pPr>
            <w:r>
              <w:rPr>
                <w:rFonts w:hint="eastAsia" w:ascii="宋体" w:hAnsi="宋体" w:eastAsia="宋体" w:cs="宋体"/>
                <w:b/>
                <w:kern w:val="0"/>
                <w:szCs w:val="21"/>
              </w:rPr>
              <w:t>审查项目</w:t>
            </w:r>
          </w:p>
        </w:tc>
        <w:tc>
          <w:tcPr>
            <w:tcW w:w="5130" w:type="dxa"/>
            <w:tcBorders>
              <w:tl2br w:val="nil"/>
              <w:tr2bl w:val="nil"/>
            </w:tcBorders>
            <w:vAlign w:val="center"/>
          </w:tcPr>
          <w:p w14:paraId="1E79B059">
            <w:pPr>
              <w:adjustRightInd w:val="0"/>
              <w:snapToGrid w:val="0"/>
              <w:spacing w:before="161" w:beforeLines="50" w:line="360" w:lineRule="auto"/>
              <w:jc w:val="center"/>
              <w:rPr>
                <w:rFonts w:hint="eastAsia" w:ascii="宋体" w:hAnsi="宋体" w:eastAsia="宋体" w:cs="宋体"/>
                <w:b/>
                <w:kern w:val="0"/>
                <w:szCs w:val="21"/>
              </w:rPr>
            </w:pPr>
            <w:r>
              <w:rPr>
                <w:rFonts w:hint="eastAsia" w:ascii="宋体" w:hAnsi="宋体" w:eastAsia="宋体" w:cs="宋体"/>
                <w:b/>
                <w:kern w:val="0"/>
                <w:szCs w:val="21"/>
              </w:rPr>
              <w:t>审查标准</w:t>
            </w:r>
          </w:p>
        </w:tc>
      </w:tr>
      <w:bookmarkEnd w:id="49"/>
      <w:tr w14:paraId="7783B3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tcBorders>
              <w:tl2br w:val="nil"/>
              <w:tr2bl w:val="nil"/>
            </w:tcBorders>
            <w:vAlign w:val="center"/>
          </w:tcPr>
          <w:p w14:paraId="6843CB68">
            <w:pPr>
              <w:adjustRightInd w:val="0"/>
              <w:snapToGrid w:val="0"/>
              <w:spacing w:before="161" w:beforeLines="50" w:line="360" w:lineRule="auto"/>
              <w:jc w:val="center"/>
              <w:rPr>
                <w:rFonts w:hint="eastAsia" w:ascii="宋体" w:hAnsi="宋体" w:eastAsia="宋体" w:cs="宋体"/>
                <w:kern w:val="0"/>
                <w:szCs w:val="21"/>
              </w:rPr>
            </w:pPr>
            <w:bookmarkStart w:id="50" w:name="OLE_LINK191" w:colFirst="0" w:colLast="2"/>
            <w:bookmarkStart w:id="51" w:name="OLE_LINK190" w:colFirst="1" w:colLast="2"/>
            <w:r>
              <w:rPr>
                <w:rFonts w:hint="eastAsia" w:ascii="宋体" w:hAnsi="宋体" w:eastAsia="宋体" w:cs="宋体"/>
                <w:kern w:val="0"/>
                <w:szCs w:val="21"/>
              </w:rPr>
              <w:t>1</w:t>
            </w:r>
          </w:p>
        </w:tc>
        <w:tc>
          <w:tcPr>
            <w:tcW w:w="3247" w:type="dxa"/>
            <w:tcBorders>
              <w:tl2br w:val="nil"/>
              <w:tr2bl w:val="nil"/>
            </w:tcBorders>
            <w:vAlign w:val="center"/>
          </w:tcPr>
          <w:p w14:paraId="0BDF55F6">
            <w:pPr>
              <w:spacing w:line="360" w:lineRule="auto"/>
              <w:rPr>
                <w:rFonts w:hint="eastAsia" w:ascii="宋体" w:hAnsi="宋体" w:eastAsia="宋体" w:cs="宋体"/>
                <w:szCs w:val="21"/>
              </w:rPr>
            </w:pPr>
            <w:bookmarkStart w:id="52" w:name="OLE_LINK103"/>
            <w:r>
              <w:rPr>
                <w:rFonts w:hint="eastAsia" w:ascii="宋体" w:hAnsi="宋体" w:eastAsia="宋体" w:cs="宋体"/>
                <w:szCs w:val="21"/>
              </w:rPr>
              <w:t>资格证明文件的签署、盖章</w:t>
            </w:r>
            <w:bookmarkEnd w:id="52"/>
          </w:p>
        </w:tc>
        <w:tc>
          <w:tcPr>
            <w:tcW w:w="5130" w:type="dxa"/>
            <w:tcBorders>
              <w:tl2br w:val="nil"/>
              <w:tr2bl w:val="nil"/>
            </w:tcBorders>
            <w:vAlign w:val="center"/>
          </w:tcPr>
          <w:p w14:paraId="11F1778A">
            <w:pPr>
              <w:spacing w:line="360" w:lineRule="auto"/>
              <w:rPr>
                <w:rFonts w:hint="eastAsia" w:ascii="宋体" w:hAnsi="宋体" w:eastAsia="宋体" w:cs="宋体"/>
                <w:szCs w:val="21"/>
              </w:rPr>
            </w:pPr>
            <w:bookmarkStart w:id="53" w:name="OLE_LINK104"/>
            <w:r>
              <w:rPr>
                <w:rFonts w:hint="eastAsia" w:ascii="宋体" w:hAnsi="宋体" w:eastAsia="宋体" w:cs="宋体"/>
                <w:szCs w:val="21"/>
              </w:rPr>
              <w:t>未按招标文件格式及要求签署或盖章的，审查结果为不合格。</w:t>
            </w:r>
            <w:bookmarkEnd w:id="53"/>
          </w:p>
        </w:tc>
      </w:tr>
      <w:tr w14:paraId="6EEF40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tcBorders>
              <w:tl2br w:val="nil"/>
              <w:tr2bl w:val="nil"/>
            </w:tcBorders>
            <w:vAlign w:val="center"/>
          </w:tcPr>
          <w:p w14:paraId="1282D729">
            <w:pPr>
              <w:adjustRightInd w:val="0"/>
              <w:snapToGrid w:val="0"/>
              <w:spacing w:before="161" w:beforeLines="50" w:line="360" w:lineRule="auto"/>
              <w:jc w:val="center"/>
              <w:rPr>
                <w:rFonts w:hint="eastAsia" w:ascii="宋体" w:hAnsi="宋体" w:eastAsia="宋体" w:cs="宋体"/>
                <w:kern w:val="0"/>
                <w:szCs w:val="21"/>
              </w:rPr>
            </w:pPr>
            <w:r>
              <w:rPr>
                <w:rFonts w:hint="eastAsia" w:ascii="宋体" w:hAnsi="宋体" w:eastAsia="宋体" w:cs="宋体"/>
                <w:kern w:val="0"/>
                <w:szCs w:val="21"/>
              </w:rPr>
              <w:t>2</w:t>
            </w:r>
          </w:p>
        </w:tc>
        <w:tc>
          <w:tcPr>
            <w:tcW w:w="3247" w:type="dxa"/>
            <w:tcBorders>
              <w:tl2br w:val="nil"/>
              <w:tr2bl w:val="nil"/>
            </w:tcBorders>
            <w:vAlign w:val="center"/>
          </w:tcPr>
          <w:p w14:paraId="4085044E">
            <w:pPr>
              <w:spacing w:line="360" w:lineRule="auto"/>
              <w:rPr>
                <w:rFonts w:hint="eastAsia" w:ascii="宋体" w:hAnsi="宋体" w:eastAsia="宋体" w:cs="宋体"/>
                <w:szCs w:val="21"/>
              </w:rPr>
            </w:pPr>
            <w:bookmarkStart w:id="54" w:name="OLE_LINK107"/>
            <w:r>
              <w:rPr>
                <w:rFonts w:hint="eastAsia" w:ascii="宋体" w:hAnsi="宋体" w:eastAsia="宋体" w:cs="宋体"/>
                <w:szCs w:val="21"/>
              </w:rPr>
              <w:t>投标报价</w:t>
            </w:r>
            <w:bookmarkEnd w:id="54"/>
          </w:p>
        </w:tc>
        <w:tc>
          <w:tcPr>
            <w:tcW w:w="5130" w:type="dxa"/>
            <w:tcBorders>
              <w:tl2br w:val="nil"/>
              <w:tr2bl w:val="nil"/>
            </w:tcBorders>
            <w:vAlign w:val="center"/>
          </w:tcPr>
          <w:p w14:paraId="4A02F7F5">
            <w:pPr>
              <w:spacing w:line="360" w:lineRule="auto"/>
              <w:rPr>
                <w:rFonts w:hint="eastAsia" w:ascii="宋体" w:hAnsi="宋体" w:eastAsia="宋体" w:cs="宋体"/>
                <w:szCs w:val="21"/>
              </w:rPr>
            </w:pPr>
            <w:bookmarkStart w:id="55" w:name="OLE_LINK108"/>
            <w:r>
              <w:rPr>
                <w:rFonts w:hint="eastAsia" w:ascii="宋体" w:hAnsi="宋体" w:eastAsia="宋体" w:cs="宋体"/>
                <w:szCs w:val="21"/>
              </w:rPr>
              <w:t>投标人投标报价超过采购预算或最高限价的（如果设定了最高限价），审查结果为不合格。</w:t>
            </w:r>
            <w:bookmarkEnd w:id="55"/>
          </w:p>
        </w:tc>
      </w:tr>
      <w:tr w14:paraId="27C853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tcBorders>
              <w:tl2br w:val="nil"/>
              <w:tr2bl w:val="nil"/>
            </w:tcBorders>
            <w:vAlign w:val="center"/>
          </w:tcPr>
          <w:p w14:paraId="6B940247">
            <w:pPr>
              <w:adjustRightInd w:val="0"/>
              <w:snapToGrid w:val="0"/>
              <w:spacing w:before="161" w:beforeLines="50" w:line="360" w:lineRule="auto"/>
              <w:jc w:val="center"/>
              <w:rPr>
                <w:rFonts w:hint="eastAsia" w:ascii="宋体" w:hAnsi="宋体" w:eastAsia="宋体" w:cs="宋体"/>
                <w:kern w:val="0"/>
                <w:szCs w:val="21"/>
              </w:rPr>
            </w:pPr>
            <w:r>
              <w:rPr>
                <w:rFonts w:hint="eastAsia" w:ascii="宋体" w:hAnsi="宋体" w:eastAsia="宋体" w:cs="宋体"/>
                <w:kern w:val="0"/>
                <w:szCs w:val="21"/>
              </w:rPr>
              <w:t>3</w:t>
            </w:r>
          </w:p>
        </w:tc>
        <w:tc>
          <w:tcPr>
            <w:tcW w:w="3247" w:type="dxa"/>
            <w:tcBorders>
              <w:tl2br w:val="nil"/>
              <w:tr2bl w:val="nil"/>
            </w:tcBorders>
            <w:vAlign w:val="center"/>
          </w:tcPr>
          <w:p w14:paraId="282859CD">
            <w:pPr>
              <w:spacing w:line="360" w:lineRule="auto"/>
              <w:rPr>
                <w:rFonts w:hint="eastAsia" w:ascii="宋体" w:hAnsi="宋体" w:eastAsia="宋体" w:cs="宋体"/>
                <w:szCs w:val="21"/>
              </w:rPr>
            </w:pPr>
            <w:bookmarkStart w:id="56" w:name="OLE_LINK109"/>
            <w:r>
              <w:rPr>
                <w:rFonts w:hint="eastAsia" w:ascii="宋体" w:hAnsi="宋体" w:eastAsia="宋体" w:cs="宋体"/>
                <w:szCs w:val="21"/>
              </w:rPr>
              <w:t>投标代表参与投标的授权书或身份证明</w:t>
            </w:r>
            <w:bookmarkEnd w:id="56"/>
          </w:p>
        </w:tc>
        <w:tc>
          <w:tcPr>
            <w:tcW w:w="5130" w:type="dxa"/>
            <w:tcBorders>
              <w:tl2br w:val="nil"/>
              <w:tr2bl w:val="nil"/>
            </w:tcBorders>
            <w:vAlign w:val="center"/>
          </w:tcPr>
          <w:p w14:paraId="2F09D8A1">
            <w:pPr>
              <w:spacing w:line="360" w:lineRule="auto"/>
              <w:rPr>
                <w:rFonts w:hint="eastAsia" w:ascii="宋体" w:hAnsi="宋体" w:eastAsia="宋体" w:cs="宋体"/>
                <w:szCs w:val="21"/>
              </w:rPr>
            </w:pPr>
            <w:bookmarkStart w:id="57" w:name="OLE_LINK110"/>
            <w:r>
              <w:rPr>
                <w:rFonts w:hint="eastAsia" w:ascii="宋体" w:hAnsi="宋体" w:eastAsia="宋体" w:cs="宋体"/>
                <w:szCs w:val="21"/>
              </w:rPr>
              <w:t>法定代表人（单位负责人）身份证明[代理人投标须提供授权委托书并附法定代表人（单位负责人）身份证明]，未按要求提供的，审查结果为不合格。</w:t>
            </w:r>
            <w:bookmarkEnd w:id="57"/>
          </w:p>
        </w:tc>
      </w:tr>
      <w:tr w14:paraId="497AA0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tcBorders>
              <w:tl2br w:val="nil"/>
              <w:tr2bl w:val="nil"/>
            </w:tcBorders>
            <w:vAlign w:val="center"/>
          </w:tcPr>
          <w:p w14:paraId="4B28281E">
            <w:pPr>
              <w:adjustRightInd w:val="0"/>
              <w:snapToGrid w:val="0"/>
              <w:spacing w:before="161" w:beforeLines="50" w:line="360" w:lineRule="auto"/>
              <w:jc w:val="center"/>
              <w:rPr>
                <w:rFonts w:hint="eastAsia" w:ascii="宋体" w:hAnsi="宋体" w:eastAsia="宋体" w:cs="宋体"/>
                <w:kern w:val="0"/>
                <w:szCs w:val="21"/>
              </w:rPr>
            </w:pPr>
            <w:r>
              <w:rPr>
                <w:rFonts w:hint="eastAsia" w:ascii="宋体" w:hAnsi="宋体" w:eastAsia="宋体" w:cs="宋体"/>
                <w:kern w:val="0"/>
                <w:szCs w:val="21"/>
              </w:rPr>
              <w:t>4</w:t>
            </w:r>
          </w:p>
        </w:tc>
        <w:tc>
          <w:tcPr>
            <w:tcW w:w="3247" w:type="dxa"/>
            <w:tcBorders>
              <w:tl2br w:val="nil"/>
              <w:tr2bl w:val="nil"/>
            </w:tcBorders>
            <w:vAlign w:val="center"/>
          </w:tcPr>
          <w:p w14:paraId="5E97D86B">
            <w:pPr>
              <w:spacing w:line="360" w:lineRule="auto"/>
              <w:rPr>
                <w:rFonts w:hint="eastAsia" w:ascii="宋体" w:hAnsi="宋体" w:eastAsia="宋体" w:cs="宋体"/>
                <w:szCs w:val="21"/>
              </w:rPr>
            </w:pPr>
            <w:bookmarkStart w:id="58" w:name="OLE_LINK111"/>
            <w:r>
              <w:rPr>
                <w:rFonts w:hint="eastAsia" w:ascii="宋体" w:hAnsi="宋体" w:eastAsia="宋体" w:cs="宋体"/>
                <w:szCs w:val="21"/>
              </w:rPr>
              <w:t>法人或者其他组织的营业执照等主体资格证明文件，自然人的身份证明</w:t>
            </w:r>
            <w:bookmarkEnd w:id="58"/>
          </w:p>
        </w:tc>
        <w:tc>
          <w:tcPr>
            <w:tcW w:w="5130" w:type="dxa"/>
            <w:tcBorders>
              <w:tl2br w:val="nil"/>
              <w:tr2bl w:val="nil"/>
            </w:tcBorders>
            <w:vAlign w:val="center"/>
          </w:tcPr>
          <w:p w14:paraId="025672B1">
            <w:pPr>
              <w:spacing w:line="360" w:lineRule="auto"/>
              <w:rPr>
                <w:rFonts w:hint="eastAsia" w:ascii="宋体" w:hAnsi="宋体" w:eastAsia="宋体" w:cs="宋体"/>
                <w:szCs w:val="21"/>
              </w:rPr>
            </w:pPr>
            <w:bookmarkStart w:id="59" w:name="OLE_LINK112"/>
            <w:r>
              <w:rPr>
                <w:rFonts w:hint="eastAsia" w:ascii="宋体" w:hAnsi="宋体" w:eastAsia="宋体" w:cs="宋体"/>
                <w:szCs w:val="21"/>
              </w:rPr>
              <w:t>法人或者其他组织提供加盖单位公章的营业执照等主体资格证明文件复印件，自然人提供本人身份证，否则，审查结果为不合格。</w:t>
            </w:r>
            <w:bookmarkEnd w:id="59"/>
          </w:p>
        </w:tc>
      </w:tr>
      <w:tr w14:paraId="0DE444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tcBorders>
              <w:tl2br w:val="nil"/>
              <w:tr2bl w:val="nil"/>
            </w:tcBorders>
            <w:vAlign w:val="center"/>
          </w:tcPr>
          <w:p w14:paraId="006880CB">
            <w:pPr>
              <w:adjustRightInd w:val="0"/>
              <w:snapToGrid w:val="0"/>
              <w:spacing w:before="161" w:beforeLines="50" w:line="360" w:lineRule="auto"/>
              <w:jc w:val="center"/>
              <w:rPr>
                <w:rFonts w:hint="eastAsia" w:ascii="宋体" w:hAnsi="宋体" w:eastAsia="宋体" w:cs="宋体"/>
                <w:kern w:val="0"/>
                <w:szCs w:val="21"/>
              </w:rPr>
            </w:pPr>
            <w:r>
              <w:rPr>
                <w:rFonts w:hint="eastAsia" w:ascii="宋体" w:hAnsi="宋体" w:eastAsia="宋体" w:cs="宋体"/>
                <w:kern w:val="0"/>
                <w:szCs w:val="21"/>
              </w:rPr>
              <w:t>5</w:t>
            </w:r>
          </w:p>
        </w:tc>
        <w:tc>
          <w:tcPr>
            <w:tcW w:w="3247" w:type="dxa"/>
            <w:tcBorders>
              <w:tl2br w:val="nil"/>
              <w:tr2bl w:val="nil"/>
            </w:tcBorders>
            <w:vAlign w:val="center"/>
          </w:tcPr>
          <w:p w14:paraId="4421890B">
            <w:pPr>
              <w:spacing w:line="360" w:lineRule="auto"/>
              <w:rPr>
                <w:rFonts w:hint="eastAsia" w:ascii="宋体" w:hAnsi="宋体" w:eastAsia="宋体" w:cs="宋体"/>
                <w:szCs w:val="21"/>
              </w:rPr>
            </w:pPr>
            <w:bookmarkStart w:id="60" w:name="OLE_LINK113"/>
            <w:r>
              <w:rPr>
                <w:rFonts w:hint="eastAsia" w:ascii="宋体" w:hAnsi="宋体" w:eastAsia="宋体" w:cs="宋体"/>
                <w:szCs w:val="21"/>
              </w:rPr>
              <w:t>湖南省政府采购供应商资格承诺函</w:t>
            </w:r>
            <w:bookmarkEnd w:id="60"/>
          </w:p>
        </w:tc>
        <w:tc>
          <w:tcPr>
            <w:tcW w:w="5130" w:type="dxa"/>
            <w:tcBorders>
              <w:tl2br w:val="nil"/>
              <w:tr2bl w:val="nil"/>
            </w:tcBorders>
            <w:vAlign w:val="center"/>
          </w:tcPr>
          <w:p w14:paraId="559345A9">
            <w:pPr>
              <w:spacing w:line="360" w:lineRule="auto"/>
              <w:rPr>
                <w:rFonts w:hint="eastAsia" w:ascii="宋体" w:hAnsi="宋体" w:eastAsia="宋体" w:cs="宋体"/>
                <w:szCs w:val="21"/>
              </w:rPr>
            </w:pPr>
            <w:bookmarkStart w:id="61" w:name="OLE_LINK114"/>
            <w:r>
              <w:rPr>
                <w:rFonts w:hint="eastAsia" w:ascii="宋体" w:hAnsi="宋体" w:eastAsia="宋体" w:cs="宋体"/>
                <w:szCs w:val="21"/>
              </w:rPr>
              <w:t>未按招标文件要求及格式提供湖南省政府采购供应商资格承诺函的，审查结果为不合格。</w:t>
            </w:r>
            <w:bookmarkEnd w:id="61"/>
          </w:p>
        </w:tc>
      </w:tr>
      <w:tr w14:paraId="71BA3D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tcBorders>
              <w:tl2br w:val="nil"/>
              <w:tr2bl w:val="nil"/>
            </w:tcBorders>
            <w:vAlign w:val="center"/>
          </w:tcPr>
          <w:p w14:paraId="09200ADE">
            <w:pPr>
              <w:adjustRightInd w:val="0"/>
              <w:snapToGrid w:val="0"/>
              <w:spacing w:before="161" w:beforeLines="50" w:line="360" w:lineRule="auto"/>
              <w:jc w:val="center"/>
              <w:rPr>
                <w:rFonts w:hint="eastAsia" w:ascii="宋体" w:hAnsi="宋体" w:eastAsia="宋体" w:cs="宋体"/>
                <w:kern w:val="0"/>
                <w:szCs w:val="21"/>
              </w:rPr>
            </w:pPr>
            <w:r>
              <w:rPr>
                <w:rFonts w:hint="eastAsia" w:ascii="宋体" w:hAnsi="宋体" w:eastAsia="宋体" w:cs="宋体"/>
                <w:kern w:val="0"/>
                <w:szCs w:val="21"/>
              </w:rPr>
              <w:t>6</w:t>
            </w:r>
          </w:p>
        </w:tc>
        <w:tc>
          <w:tcPr>
            <w:tcW w:w="3247" w:type="dxa"/>
            <w:tcBorders>
              <w:tl2br w:val="nil"/>
              <w:tr2bl w:val="nil"/>
            </w:tcBorders>
            <w:vAlign w:val="center"/>
          </w:tcPr>
          <w:p w14:paraId="2D4DA105">
            <w:pPr>
              <w:spacing w:line="360" w:lineRule="auto"/>
              <w:rPr>
                <w:rFonts w:hint="eastAsia" w:ascii="宋体" w:hAnsi="宋体" w:eastAsia="宋体" w:cs="宋体"/>
                <w:szCs w:val="21"/>
              </w:rPr>
            </w:pPr>
            <w:bookmarkStart w:id="62" w:name="OLE_LINK115"/>
            <w:r>
              <w:rPr>
                <w:rFonts w:hint="eastAsia" w:ascii="宋体" w:hAnsi="宋体" w:eastAsia="宋体" w:cs="宋体"/>
                <w:szCs w:val="21"/>
              </w:rPr>
              <w:t>投标人信用查询记录</w:t>
            </w:r>
            <w:bookmarkEnd w:id="62"/>
          </w:p>
        </w:tc>
        <w:tc>
          <w:tcPr>
            <w:tcW w:w="5130" w:type="dxa"/>
            <w:tcBorders>
              <w:tl2br w:val="nil"/>
              <w:tr2bl w:val="nil"/>
            </w:tcBorders>
            <w:vAlign w:val="center"/>
          </w:tcPr>
          <w:p w14:paraId="16270367">
            <w:pPr>
              <w:spacing w:line="360" w:lineRule="auto"/>
              <w:rPr>
                <w:rFonts w:hint="eastAsia" w:ascii="宋体" w:hAnsi="宋体" w:eastAsia="宋体" w:cs="宋体"/>
                <w:szCs w:val="21"/>
              </w:rPr>
            </w:pPr>
            <w:bookmarkStart w:id="63" w:name="OLE_LINK116"/>
            <w:r>
              <w:rPr>
                <w:rFonts w:hint="eastAsia" w:ascii="宋体" w:hAnsi="宋体" w:eastAsia="宋体" w:cs="宋体"/>
                <w:szCs w:val="21"/>
              </w:rPr>
              <w:t>投标人在“信用中国”网站被列入失信被执行人和重大税收违法案件当事人名单，或在“中国政府采购网”网站被列入政府采购严重违法失信行为记录名单的，审查结果为不合格。</w:t>
            </w:r>
            <w:bookmarkEnd w:id="63"/>
          </w:p>
        </w:tc>
      </w:tr>
      <w:tr w14:paraId="73B623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3" w:type="dxa"/>
            <w:tcBorders>
              <w:tl2br w:val="nil"/>
              <w:tr2bl w:val="nil"/>
            </w:tcBorders>
            <w:vAlign w:val="center"/>
          </w:tcPr>
          <w:p w14:paraId="10E710E2">
            <w:pPr>
              <w:adjustRightInd w:val="0"/>
              <w:snapToGrid w:val="0"/>
              <w:spacing w:before="161" w:beforeLines="50" w:line="360" w:lineRule="auto"/>
              <w:jc w:val="center"/>
              <w:rPr>
                <w:rFonts w:hint="eastAsia" w:ascii="宋体" w:hAnsi="宋体" w:eastAsia="宋体" w:cs="宋体"/>
                <w:kern w:val="0"/>
                <w:szCs w:val="21"/>
              </w:rPr>
            </w:pPr>
            <w:r>
              <w:rPr>
                <w:rFonts w:hint="eastAsia" w:ascii="宋体" w:hAnsi="宋体" w:eastAsia="宋体" w:cs="宋体"/>
                <w:kern w:val="0"/>
                <w:szCs w:val="21"/>
              </w:rPr>
              <w:t>7</w:t>
            </w:r>
          </w:p>
        </w:tc>
        <w:tc>
          <w:tcPr>
            <w:tcW w:w="3247" w:type="dxa"/>
            <w:tcBorders>
              <w:tl2br w:val="nil"/>
              <w:tr2bl w:val="nil"/>
            </w:tcBorders>
            <w:vAlign w:val="center"/>
          </w:tcPr>
          <w:p w14:paraId="0B7F68C6">
            <w:pPr>
              <w:spacing w:line="360" w:lineRule="auto"/>
              <w:rPr>
                <w:rFonts w:hint="eastAsia" w:ascii="宋体" w:hAnsi="宋体" w:eastAsia="宋体" w:cs="宋体"/>
                <w:szCs w:val="21"/>
              </w:rPr>
            </w:pPr>
            <w:bookmarkStart w:id="64" w:name="OLE_LINK117"/>
            <w:r>
              <w:rPr>
                <w:rFonts w:hint="eastAsia" w:ascii="宋体" w:hAnsi="宋体" w:eastAsia="宋体" w:cs="宋体"/>
                <w:szCs w:val="21"/>
              </w:rPr>
              <w:t>投标人特定资格证明材料</w:t>
            </w:r>
            <w:bookmarkEnd w:id="64"/>
          </w:p>
        </w:tc>
        <w:tc>
          <w:tcPr>
            <w:tcW w:w="5130" w:type="dxa"/>
            <w:tcBorders>
              <w:tl2br w:val="nil"/>
              <w:tr2bl w:val="nil"/>
            </w:tcBorders>
            <w:vAlign w:val="center"/>
          </w:tcPr>
          <w:p w14:paraId="31E33006">
            <w:pPr>
              <w:spacing w:line="360" w:lineRule="auto"/>
              <w:rPr>
                <w:rFonts w:hint="eastAsia" w:ascii="宋体" w:hAnsi="宋体" w:eastAsia="宋体" w:cs="宋体"/>
                <w:szCs w:val="21"/>
              </w:rPr>
            </w:pPr>
            <w:bookmarkStart w:id="65" w:name="OLE_LINK118"/>
            <w:r>
              <w:rPr>
                <w:rFonts w:hint="eastAsia" w:ascii="宋体" w:hAnsi="宋体" w:eastAsia="宋体" w:cs="宋体"/>
                <w:szCs w:val="21"/>
              </w:rPr>
              <w:t>未按招标文件要求提供投标人特定资格证明材料的，审查结果为不合格。</w:t>
            </w:r>
            <w:bookmarkEnd w:id="65"/>
          </w:p>
        </w:tc>
      </w:tr>
      <w:bookmarkEnd w:id="50"/>
      <w:bookmarkEnd w:id="51"/>
      <w:tr w14:paraId="1AE312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683" w:type="dxa"/>
            <w:tcBorders>
              <w:tl2br w:val="nil"/>
              <w:tr2bl w:val="nil"/>
            </w:tcBorders>
            <w:vAlign w:val="center"/>
          </w:tcPr>
          <w:p w14:paraId="2D7FD6F5">
            <w:pPr>
              <w:adjustRightInd w:val="0"/>
              <w:snapToGrid w:val="0"/>
              <w:spacing w:before="161" w:beforeLines="50" w:line="360" w:lineRule="auto"/>
              <w:jc w:val="center"/>
              <w:rPr>
                <w:rFonts w:hint="eastAsia" w:ascii="宋体" w:hAnsi="宋体" w:eastAsia="宋体" w:cs="宋体"/>
                <w:kern w:val="0"/>
                <w:szCs w:val="21"/>
              </w:rPr>
            </w:pPr>
            <w:r>
              <w:rPr>
                <w:rFonts w:hint="eastAsia" w:ascii="宋体" w:hAnsi="宋体" w:eastAsia="宋体" w:cs="宋体"/>
                <w:kern w:val="0"/>
                <w:szCs w:val="21"/>
              </w:rPr>
              <w:t>结论</w:t>
            </w:r>
          </w:p>
        </w:tc>
        <w:tc>
          <w:tcPr>
            <w:tcW w:w="8377" w:type="dxa"/>
            <w:gridSpan w:val="2"/>
            <w:tcBorders>
              <w:tl2br w:val="nil"/>
              <w:tr2bl w:val="nil"/>
            </w:tcBorders>
            <w:vAlign w:val="center"/>
          </w:tcPr>
          <w:p w14:paraId="1C6647F4">
            <w:pPr>
              <w:adjustRightInd w:val="0"/>
              <w:snapToGrid w:val="0"/>
              <w:spacing w:before="161" w:beforeLines="50" w:line="360" w:lineRule="auto"/>
              <w:jc w:val="center"/>
              <w:rPr>
                <w:rFonts w:hint="eastAsia" w:ascii="宋体" w:hAnsi="宋体" w:eastAsia="宋体" w:cs="宋体"/>
                <w:kern w:val="0"/>
                <w:szCs w:val="21"/>
              </w:rPr>
            </w:pPr>
          </w:p>
        </w:tc>
      </w:tr>
    </w:tbl>
    <w:p w14:paraId="1437DE88">
      <w:pPr>
        <w:rPr>
          <w:rFonts w:hint="eastAsia" w:ascii="宋体" w:hAnsi="宋体" w:eastAsia="宋体" w:cs="宋体"/>
        </w:rPr>
      </w:pPr>
    </w:p>
    <w:p w14:paraId="3E60B32A">
      <w:pPr>
        <w:widowControl/>
        <w:jc w:val="left"/>
        <w:rPr>
          <w:rFonts w:hint="eastAsia" w:ascii="宋体" w:hAnsi="宋体" w:eastAsia="宋体" w:cs="宋体"/>
          <w:bCs/>
          <w:szCs w:val="21"/>
        </w:rPr>
      </w:pPr>
      <w:r>
        <w:rPr>
          <w:rFonts w:hint="eastAsia" w:ascii="宋体" w:hAnsi="宋体" w:eastAsia="宋体" w:cs="宋体"/>
          <w:b/>
          <w:szCs w:val="21"/>
        </w:rPr>
        <w:br w:type="page"/>
      </w:r>
    </w:p>
    <w:p w14:paraId="1EC62F19">
      <w:pPr>
        <w:keepNext/>
        <w:keepLines/>
        <w:widowControl w:val="0"/>
        <w:adjustRightInd w:val="0"/>
        <w:snapToGrid w:val="0"/>
        <w:spacing w:before="0" w:after="0" w:line="360" w:lineRule="auto"/>
        <w:jc w:val="both"/>
        <w:outlineLvl w:val="3"/>
        <w:rPr>
          <w:rFonts w:hint="eastAsia" w:ascii="宋体" w:hAnsi="宋体" w:eastAsia="宋体" w:cs="宋体"/>
          <w:b w:val="0"/>
          <w:bCs/>
          <w:kern w:val="2"/>
          <w:sz w:val="21"/>
          <w:szCs w:val="21"/>
          <w:lang w:val="en-US" w:eastAsia="zh-CN" w:bidi="ar-SA"/>
        </w:rPr>
      </w:pPr>
      <w:bookmarkStart w:id="66" w:name="_Toc11304"/>
      <w:r>
        <w:rPr>
          <w:rFonts w:hint="eastAsia" w:ascii="宋体" w:hAnsi="宋体" w:eastAsia="宋体" w:cs="宋体"/>
          <w:b w:val="0"/>
          <w:bCs/>
          <w:kern w:val="2"/>
          <w:sz w:val="21"/>
          <w:szCs w:val="21"/>
          <w:lang w:val="en-US" w:eastAsia="zh-CN" w:bidi="ar-SA"/>
        </w:rPr>
        <w:t>附表2 资格审查结果一览表</w:t>
      </w:r>
      <w:bookmarkEnd w:id="66"/>
    </w:p>
    <w:p w14:paraId="34098795">
      <w:pPr>
        <w:adjustRightInd w:val="0"/>
        <w:snapToGrid w:val="0"/>
        <w:spacing w:line="360" w:lineRule="auto"/>
        <w:jc w:val="center"/>
        <w:rPr>
          <w:rFonts w:hint="eastAsia" w:ascii="宋体" w:hAnsi="宋体" w:eastAsia="宋体" w:cs="宋体"/>
          <w:b/>
          <w:sz w:val="28"/>
          <w:szCs w:val="28"/>
        </w:rPr>
      </w:pPr>
      <w:r>
        <w:rPr>
          <w:rFonts w:hint="eastAsia" w:ascii="宋体" w:hAnsi="宋体" w:eastAsia="宋体" w:cs="宋体"/>
          <w:b/>
          <w:sz w:val="28"/>
          <w:szCs w:val="28"/>
        </w:rPr>
        <w:t>资格审查结果一览表</w:t>
      </w:r>
    </w:p>
    <w:p w14:paraId="6CA32D20">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项目名称：</w:t>
      </w:r>
      <w:r>
        <w:rPr>
          <w:rFonts w:hint="eastAsia" w:ascii="宋体" w:hAnsi="宋体" w:eastAsia="宋体" w:cs="宋体"/>
          <w:szCs w:val="21"/>
          <w:u w:val="single"/>
        </w:rPr>
        <w:t xml:space="preserve">       </w:t>
      </w:r>
      <w:r>
        <w:rPr>
          <w:rFonts w:hint="eastAsia" w:ascii="宋体" w:hAnsi="宋体" w:eastAsia="宋体" w:cs="宋体"/>
          <w:szCs w:val="21"/>
        </w:rPr>
        <w:t xml:space="preserve">                                           采购代理编号：</w:t>
      </w:r>
      <w:r>
        <w:rPr>
          <w:rFonts w:hint="eastAsia" w:ascii="宋体" w:hAnsi="宋体" w:eastAsia="宋体" w:cs="宋体"/>
          <w:szCs w:val="21"/>
          <w:u w:val="single"/>
        </w:rPr>
        <w:t xml:space="preserve">         </w:t>
      </w:r>
    </w:p>
    <w:tbl>
      <w:tblPr>
        <w:tblStyle w:val="3"/>
        <w:tblW w:w="90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7"/>
        <w:gridCol w:w="2963"/>
        <w:gridCol w:w="2439"/>
        <w:gridCol w:w="2961"/>
      </w:tblGrid>
      <w:tr w14:paraId="04A353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7" w:type="dxa"/>
            <w:tcBorders>
              <w:tl2br w:val="nil"/>
              <w:tr2bl w:val="nil"/>
            </w:tcBorders>
            <w:vAlign w:val="center"/>
          </w:tcPr>
          <w:p w14:paraId="4B072833">
            <w:pPr>
              <w:jc w:val="center"/>
              <w:rPr>
                <w:rFonts w:hint="eastAsia" w:ascii="宋体" w:hAnsi="宋体" w:eastAsia="宋体" w:cs="宋体"/>
                <w:b/>
                <w:kern w:val="0"/>
                <w:szCs w:val="21"/>
              </w:rPr>
            </w:pPr>
            <w:r>
              <w:rPr>
                <w:rFonts w:hint="eastAsia" w:ascii="宋体" w:hAnsi="宋体" w:eastAsia="宋体" w:cs="宋体"/>
                <w:b/>
                <w:kern w:val="0"/>
                <w:szCs w:val="21"/>
              </w:rPr>
              <w:t>序号</w:t>
            </w:r>
          </w:p>
        </w:tc>
        <w:tc>
          <w:tcPr>
            <w:tcW w:w="2963" w:type="dxa"/>
            <w:tcBorders>
              <w:tl2br w:val="nil"/>
              <w:tr2bl w:val="nil"/>
            </w:tcBorders>
            <w:vAlign w:val="center"/>
          </w:tcPr>
          <w:p w14:paraId="6C9E04DE">
            <w:pPr>
              <w:jc w:val="center"/>
              <w:rPr>
                <w:rFonts w:hint="eastAsia" w:ascii="宋体" w:hAnsi="宋体" w:eastAsia="宋体" w:cs="宋体"/>
                <w:b/>
                <w:kern w:val="0"/>
                <w:szCs w:val="21"/>
              </w:rPr>
            </w:pPr>
            <w:r>
              <w:rPr>
                <w:rFonts w:hint="eastAsia" w:ascii="宋体" w:hAnsi="宋体" w:eastAsia="宋体" w:cs="宋体"/>
                <w:b/>
                <w:kern w:val="0"/>
                <w:szCs w:val="21"/>
              </w:rPr>
              <w:t>投标人名称</w:t>
            </w:r>
          </w:p>
        </w:tc>
        <w:tc>
          <w:tcPr>
            <w:tcW w:w="2439" w:type="dxa"/>
            <w:tcBorders>
              <w:tl2br w:val="nil"/>
              <w:tr2bl w:val="nil"/>
            </w:tcBorders>
            <w:vAlign w:val="center"/>
          </w:tcPr>
          <w:p w14:paraId="052D9869">
            <w:pPr>
              <w:jc w:val="center"/>
              <w:rPr>
                <w:rFonts w:hint="eastAsia" w:ascii="宋体" w:hAnsi="宋体" w:eastAsia="宋体" w:cs="宋体"/>
                <w:b/>
                <w:kern w:val="0"/>
                <w:szCs w:val="21"/>
              </w:rPr>
            </w:pPr>
            <w:r>
              <w:rPr>
                <w:rFonts w:hint="eastAsia" w:ascii="宋体" w:hAnsi="宋体" w:eastAsia="宋体" w:cs="宋体"/>
                <w:b/>
                <w:kern w:val="0"/>
                <w:szCs w:val="21"/>
              </w:rPr>
              <w:t>资格审查结果</w:t>
            </w:r>
          </w:p>
          <w:p w14:paraId="413CAD04">
            <w:pPr>
              <w:jc w:val="center"/>
              <w:rPr>
                <w:rFonts w:hint="eastAsia" w:ascii="宋体" w:hAnsi="宋体" w:eastAsia="宋体" w:cs="宋体"/>
                <w:b/>
                <w:kern w:val="0"/>
                <w:szCs w:val="21"/>
              </w:rPr>
            </w:pPr>
            <w:r>
              <w:rPr>
                <w:rFonts w:hint="eastAsia" w:ascii="宋体" w:hAnsi="宋体" w:eastAsia="宋体" w:cs="宋体"/>
                <w:b/>
                <w:kern w:val="0"/>
                <w:szCs w:val="21"/>
              </w:rPr>
              <w:t>（合格/不合格）</w:t>
            </w:r>
          </w:p>
        </w:tc>
        <w:tc>
          <w:tcPr>
            <w:tcW w:w="2961" w:type="dxa"/>
            <w:tcBorders>
              <w:tl2br w:val="nil"/>
              <w:tr2bl w:val="nil"/>
            </w:tcBorders>
            <w:vAlign w:val="center"/>
          </w:tcPr>
          <w:p w14:paraId="4FC6471F">
            <w:pPr>
              <w:jc w:val="center"/>
              <w:rPr>
                <w:rFonts w:hint="eastAsia" w:ascii="宋体" w:hAnsi="宋体" w:eastAsia="宋体" w:cs="宋体"/>
                <w:b/>
                <w:kern w:val="0"/>
                <w:szCs w:val="21"/>
              </w:rPr>
            </w:pPr>
            <w:r>
              <w:rPr>
                <w:rFonts w:hint="eastAsia" w:ascii="宋体" w:hAnsi="宋体" w:eastAsia="宋体" w:cs="宋体"/>
                <w:b/>
                <w:kern w:val="0"/>
                <w:szCs w:val="21"/>
              </w:rPr>
              <w:t>资格审查不合格原因</w:t>
            </w:r>
          </w:p>
        </w:tc>
      </w:tr>
      <w:tr w14:paraId="4E8CA0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7" w:type="dxa"/>
            <w:tcBorders>
              <w:tl2br w:val="nil"/>
              <w:tr2bl w:val="nil"/>
            </w:tcBorders>
          </w:tcPr>
          <w:p w14:paraId="08D4484F">
            <w:pPr>
              <w:adjustRightInd w:val="0"/>
              <w:snapToGrid w:val="0"/>
              <w:spacing w:line="360" w:lineRule="auto"/>
              <w:rPr>
                <w:rFonts w:hint="eastAsia" w:ascii="宋体" w:hAnsi="宋体" w:eastAsia="宋体" w:cs="宋体"/>
                <w:kern w:val="0"/>
                <w:sz w:val="24"/>
              </w:rPr>
            </w:pPr>
          </w:p>
        </w:tc>
        <w:tc>
          <w:tcPr>
            <w:tcW w:w="2963" w:type="dxa"/>
            <w:tcBorders>
              <w:tl2br w:val="nil"/>
              <w:tr2bl w:val="nil"/>
            </w:tcBorders>
          </w:tcPr>
          <w:p w14:paraId="52E6B313">
            <w:pPr>
              <w:adjustRightInd w:val="0"/>
              <w:snapToGrid w:val="0"/>
              <w:spacing w:line="360" w:lineRule="auto"/>
              <w:rPr>
                <w:rFonts w:hint="eastAsia" w:ascii="宋体" w:hAnsi="宋体" w:eastAsia="宋体" w:cs="宋体"/>
                <w:kern w:val="0"/>
                <w:sz w:val="24"/>
              </w:rPr>
            </w:pPr>
          </w:p>
        </w:tc>
        <w:tc>
          <w:tcPr>
            <w:tcW w:w="2439" w:type="dxa"/>
            <w:tcBorders>
              <w:tl2br w:val="nil"/>
              <w:tr2bl w:val="nil"/>
            </w:tcBorders>
          </w:tcPr>
          <w:p w14:paraId="7770B877">
            <w:pPr>
              <w:adjustRightInd w:val="0"/>
              <w:snapToGrid w:val="0"/>
              <w:spacing w:line="360" w:lineRule="auto"/>
              <w:rPr>
                <w:rFonts w:hint="eastAsia" w:ascii="宋体" w:hAnsi="宋体" w:eastAsia="宋体" w:cs="宋体"/>
                <w:kern w:val="0"/>
                <w:sz w:val="24"/>
              </w:rPr>
            </w:pPr>
          </w:p>
        </w:tc>
        <w:tc>
          <w:tcPr>
            <w:tcW w:w="2961" w:type="dxa"/>
            <w:tcBorders>
              <w:tl2br w:val="nil"/>
              <w:tr2bl w:val="nil"/>
            </w:tcBorders>
          </w:tcPr>
          <w:p w14:paraId="3A61A1E5">
            <w:pPr>
              <w:adjustRightInd w:val="0"/>
              <w:snapToGrid w:val="0"/>
              <w:spacing w:line="360" w:lineRule="auto"/>
              <w:rPr>
                <w:rFonts w:hint="eastAsia" w:ascii="宋体" w:hAnsi="宋体" w:eastAsia="宋体" w:cs="宋体"/>
                <w:kern w:val="0"/>
                <w:sz w:val="24"/>
              </w:rPr>
            </w:pPr>
          </w:p>
        </w:tc>
      </w:tr>
      <w:tr w14:paraId="08DCD3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7" w:type="dxa"/>
            <w:tcBorders>
              <w:tl2br w:val="nil"/>
              <w:tr2bl w:val="nil"/>
            </w:tcBorders>
          </w:tcPr>
          <w:p w14:paraId="0408D8BD">
            <w:pPr>
              <w:adjustRightInd w:val="0"/>
              <w:snapToGrid w:val="0"/>
              <w:spacing w:line="360" w:lineRule="auto"/>
              <w:rPr>
                <w:rFonts w:hint="eastAsia" w:ascii="宋体" w:hAnsi="宋体" w:eastAsia="宋体" w:cs="宋体"/>
                <w:kern w:val="0"/>
                <w:sz w:val="24"/>
              </w:rPr>
            </w:pPr>
          </w:p>
        </w:tc>
        <w:tc>
          <w:tcPr>
            <w:tcW w:w="2963" w:type="dxa"/>
            <w:tcBorders>
              <w:tl2br w:val="nil"/>
              <w:tr2bl w:val="nil"/>
            </w:tcBorders>
          </w:tcPr>
          <w:p w14:paraId="626F816E">
            <w:pPr>
              <w:adjustRightInd w:val="0"/>
              <w:snapToGrid w:val="0"/>
              <w:spacing w:line="360" w:lineRule="auto"/>
              <w:rPr>
                <w:rFonts w:hint="eastAsia" w:ascii="宋体" w:hAnsi="宋体" w:eastAsia="宋体" w:cs="宋体"/>
                <w:kern w:val="0"/>
                <w:sz w:val="24"/>
              </w:rPr>
            </w:pPr>
          </w:p>
        </w:tc>
        <w:tc>
          <w:tcPr>
            <w:tcW w:w="2439" w:type="dxa"/>
            <w:tcBorders>
              <w:tl2br w:val="nil"/>
              <w:tr2bl w:val="nil"/>
            </w:tcBorders>
          </w:tcPr>
          <w:p w14:paraId="6AC550B2">
            <w:pPr>
              <w:adjustRightInd w:val="0"/>
              <w:snapToGrid w:val="0"/>
              <w:spacing w:line="360" w:lineRule="auto"/>
              <w:rPr>
                <w:rFonts w:hint="eastAsia" w:ascii="宋体" w:hAnsi="宋体" w:eastAsia="宋体" w:cs="宋体"/>
                <w:kern w:val="0"/>
                <w:sz w:val="24"/>
              </w:rPr>
            </w:pPr>
          </w:p>
        </w:tc>
        <w:tc>
          <w:tcPr>
            <w:tcW w:w="2961" w:type="dxa"/>
            <w:tcBorders>
              <w:tl2br w:val="nil"/>
              <w:tr2bl w:val="nil"/>
            </w:tcBorders>
          </w:tcPr>
          <w:p w14:paraId="2EB5A08B">
            <w:pPr>
              <w:adjustRightInd w:val="0"/>
              <w:snapToGrid w:val="0"/>
              <w:spacing w:line="360" w:lineRule="auto"/>
              <w:rPr>
                <w:rFonts w:hint="eastAsia" w:ascii="宋体" w:hAnsi="宋体" w:eastAsia="宋体" w:cs="宋体"/>
                <w:kern w:val="0"/>
                <w:sz w:val="24"/>
              </w:rPr>
            </w:pPr>
          </w:p>
        </w:tc>
      </w:tr>
      <w:tr w14:paraId="781F62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7" w:type="dxa"/>
            <w:tcBorders>
              <w:tl2br w:val="nil"/>
              <w:tr2bl w:val="nil"/>
            </w:tcBorders>
          </w:tcPr>
          <w:p w14:paraId="1AA24262">
            <w:pPr>
              <w:adjustRightInd w:val="0"/>
              <w:snapToGrid w:val="0"/>
              <w:spacing w:line="360" w:lineRule="auto"/>
              <w:rPr>
                <w:rFonts w:hint="eastAsia" w:ascii="宋体" w:hAnsi="宋体" w:eastAsia="宋体" w:cs="宋体"/>
                <w:kern w:val="0"/>
                <w:sz w:val="24"/>
              </w:rPr>
            </w:pPr>
          </w:p>
        </w:tc>
        <w:tc>
          <w:tcPr>
            <w:tcW w:w="2963" w:type="dxa"/>
            <w:tcBorders>
              <w:tl2br w:val="nil"/>
              <w:tr2bl w:val="nil"/>
            </w:tcBorders>
          </w:tcPr>
          <w:p w14:paraId="5DD9592E">
            <w:pPr>
              <w:adjustRightInd w:val="0"/>
              <w:snapToGrid w:val="0"/>
              <w:spacing w:line="360" w:lineRule="auto"/>
              <w:rPr>
                <w:rFonts w:hint="eastAsia" w:ascii="宋体" w:hAnsi="宋体" w:eastAsia="宋体" w:cs="宋体"/>
                <w:kern w:val="0"/>
                <w:sz w:val="24"/>
              </w:rPr>
            </w:pPr>
          </w:p>
        </w:tc>
        <w:tc>
          <w:tcPr>
            <w:tcW w:w="2439" w:type="dxa"/>
            <w:tcBorders>
              <w:tl2br w:val="nil"/>
              <w:tr2bl w:val="nil"/>
            </w:tcBorders>
          </w:tcPr>
          <w:p w14:paraId="763F20A9">
            <w:pPr>
              <w:adjustRightInd w:val="0"/>
              <w:snapToGrid w:val="0"/>
              <w:spacing w:line="360" w:lineRule="auto"/>
              <w:rPr>
                <w:rFonts w:hint="eastAsia" w:ascii="宋体" w:hAnsi="宋体" w:eastAsia="宋体" w:cs="宋体"/>
                <w:kern w:val="0"/>
                <w:sz w:val="24"/>
              </w:rPr>
            </w:pPr>
          </w:p>
        </w:tc>
        <w:tc>
          <w:tcPr>
            <w:tcW w:w="2961" w:type="dxa"/>
            <w:tcBorders>
              <w:tl2br w:val="nil"/>
              <w:tr2bl w:val="nil"/>
            </w:tcBorders>
          </w:tcPr>
          <w:p w14:paraId="6ED4E343">
            <w:pPr>
              <w:adjustRightInd w:val="0"/>
              <w:snapToGrid w:val="0"/>
              <w:spacing w:line="360" w:lineRule="auto"/>
              <w:rPr>
                <w:rFonts w:hint="eastAsia" w:ascii="宋体" w:hAnsi="宋体" w:eastAsia="宋体" w:cs="宋体"/>
                <w:kern w:val="0"/>
                <w:sz w:val="24"/>
              </w:rPr>
            </w:pPr>
          </w:p>
        </w:tc>
      </w:tr>
      <w:tr w14:paraId="01AFEA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7" w:type="dxa"/>
            <w:tcBorders>
              <w:tl2br w:val="nil"/>
              <w:tr2bl w:val="nil"/>
            </w:tcBorders>
          </w:tcPr>
          <w:p w14:paraId="671378C8">
            <w:pPr>
              <w:adjustRightInd w:val="0"/>
              <w:snapToGrid w:val="0"/>
              <w:spacing w:line="360" w:lineRule="auto"/>
              <w:rPr>
                <w:rFonts w:hint="eastAsia" w:ascii="宋体" w:hAnsi="宋体" w:eastAsia="宋体" w:cs="宋体"/>
                <w:kern w:val="0"/>
                <w:sz w:val="24"/>
              </w:rPr>
            </w:pPr>
          </w:p>
        </w:tc>
        <w:tc>
          <w:tcPr>
            <w:tcW w:w="2963" w:type="dxa"/>
            <w:tcBorders>
              <w:tl2br w:val="nil"/>
              <w:tr2bl w:val="nil"/>
            </w:tcBorders>
          </w:tcPr>
          <w:p w14:paraId="710D8338">
            <w:pPr>
              <w:adjustRightInd w:val="0"/>
              <w:snapToGrid w:val="0"/>
              <w:spacing w:line="360" w:lineRule="auto"/>
              <w:rPr>
                <w:rFonts w:hint="eastAsia" w:ascii="宋体" w:hAnsi="宋体" w:eastAsia="宋体" w:cs="宋体"/>
                <w:kern w:val="0"/>
                <w:sz w:val="24"/>
              </w:rPr>
            </w:pPr>
          </w:p>
        </w:tc>
        <w:tc>
          <w:tcPr>
            <w:tcW w:w="2439" w:type="dxa"/>
            <w:tcBorders>
              <w:tl2br w:val="nil"/>
              <w:tr2bl w:val="nil"/>
            </w:tcBorders>
          </w:tcPr>
          <w:p w14:paraId="2E6FF122">
            <w:pPr>
              <w:adjustRightInd w:val="0"/>
              <w:snapToGrid w:val="0"/>
              <w:spacing w:line="360" w:lineRule="auto"/>
              <w:rPr>
                <w:rFonts w:hint="eastAsia" w:ascii="宋体" w:hAnsi="宋体" w:eastAsia="宋体" w:cs="宋体"/>
                <w:kern w:val="0"/>
                <w:sz w:val="24"/>
              </w:rPr>
            </w:pPr>
          </w:p>
        </w:tc>
        <w:tc>
          <w:tcPr>
            <w:tcW w:w="2961" w:type="dxa"/>
            <w:tcBorders>
              <w:tl2br w:val="nil"/>
              <w:tr2bl w:val="nil"/>
            </w:tcBorders>
          </w:tcPr>
          <w:p w14:paraId="17826D83">
            <w:pPr>
              <w:adjustRightInd w:val="0"/>
              <w:snapToGrid w:val="0"/>
              <w:spacing w:line="360" w:lineRule="auto"/>
              <w:rPr>
                <w:rFonts w:hint="eastAsia" w:ascii="宋体" w:hAnsi="宋体" w:eastAsia="宋体" w:cs="宋体"/>
                <w:kern w:val="0"/>
                <w:sz w:val="24"/>
              </w:rPr>
            </w:pPr>
          </w:p>
        </w:tc>
      </w:tr>
      <w:tr w14:paraId="66AE1C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7" w:type="dxa"/>
            <w:tcBorders>
              <w:tl2br w:val="nil"/>
              <w:tr2bl w:val="nil"/>
            </w:tcBorders>
          </w:tcPr>
          <w:p w14:paraId="54D6F926">
            <w:pPr>
              <w:adjustRightInd w:val="0"/>
              <w:snapToGrid w:val="0"/>
              <w:spacing w:line="360" w:lineRule="auto"/>
              <w:rPr>
                <w:rFonts w:hint="eastAsia" w:ascii="宋体" w:hAnsi="宋体" w:eastAsia="宋体" w:cs="宋体"/>
                <w:kern w:val="0"/>
                <w:sz w:val="24"/>
              </w:rPr>
            </w:pPr>
          </w:p>
        </w:tc>
        <w:tc>
          <w:tcPr>
            <w:tcW w:w="2963" w:type="dxa"/>
            <w:tcBorders>
              <w:tl2br w:val="nil"/>
              <w:tr2bl w:val="nil"/>
            </w:tcBorders>
          </w:tcPr>
          <w:p w14:paraId="56210FB5">
            <w:pPr>
              <w:adjustRightInd w:val="0"/>
              <w:snapToGrid w:val="0"/>
              <w:spacing w:line="360" w:lineRule="auto"/>
              <w:rPr>
                <w:rFonts w:hint="eastAsia" w:ascii="宋体" w:hAnsi="宋体" w:eastAsia="宋体" w:cs="宋体"/>
                <w:kern w:val="0"/>
                <w:sz w:val="24"/>
              </w:rPr>
            </w:pPr>
          </w:p>
        </w:tc>
        <w:tc>
          <w:tcPr>
            <w:tcW w:w="2439" w:type="dxa"/>
            <w:tcBorders>
              <w:tl2br w:val="nil"/>
              <w:tr2bl w:val="nil"/>
            </w:tcBorders>
          </w:tcPr>
          <w:p w14:paraId="4D64689F">
            <w:pPr>
              <w:adjustRightInd w:val="0"/>
              <w:snapToGrid w:val="0"/>
              <w:spacing w:line="360" w:lineRule="auto"/>
              <w:rPr>
                <w:rFonts w:hint="eastAsia" w:ascii="宋体" w:hAnsi="宋体" w:eastAsia="宋体" w:cs="宋体"/>
                <w:kern w:val="0"/>
                <w:sz w:val="24"/>
              </w:rPr>
            </w:pPr>
          </w:p>
        </w:tc>
        <w:tc>
          <w:tcPr>
            <w:tcW w:w="2961" w:type="dxa"/>
            <w:tcBorders>
              <w:tl2br w:val="nil"/>
              <w:tr2bl w:val="nil"/>
            </w:tcBorders>
          </w:tcPr>
          <w:p w14:paraId="200E7BBF">
            <w:pPr>
              <w:adjustRightInd w:val="0"/>
              <w:snapToGrid w:val="0"/>
              <w:spacing w:line="360" w:lineRule="auto"/>
              <w:rPr>
                <w:rFonts w:hint="eastAsia" w:ascii="宋体" w:hAnsi="宋体" w:eastAsia="宋体" w:cs="宋体"/>
                <w:kern w:val="0"/>
                <w:sz w:val="24"/>
              </w:rPr>
            </w:pPr>
          </w:p>
        </w:tc>
      </w:tr>
      <w:tr w14:paraId="4A7410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7" w:type="dxa"/>
            <w:tcBorders>
              <w:tl2br w:val="nil"/>
              <w:tr2bl w:val="nil"/>
            </w:tcBorders>
          </w:tcPr>
          <w:p w14:paraId="40757FD3">
            <w:pPr>
              <w:adjustRightInd w:val="0"/>
              <w:snapToGrid w:val="0"/>
              <w:spacing w:line="360" w:lineRule="auto"/>
              <w:rPr>
                <w:rFonts w:hint="eastAsia" w:ascii="宋体" w:hAnsi="宋体" w:eastAsia="宋体" w:cs="宋体"/>
                <w:kern w:val="0"/>
                <w:sz w:val="24"/>
              </w:rPr>
            </w:pPr>
          </w:p>
        </w:tc>
        <w:tc>
          <w:tcPr>
            <w:tcW w:w="2963" w:type="dxa"/>
            <w:tcBorders>
              <w:tl2br w:val="nil"/>
              <w:tr2bl w:val="nil"/>
            </w:tcBorders>
          </w:tcPr>
          <w:p w14:paraId="76B5883B">
            <w:pPr>
              <w:adjustRightInd w:val="0"/>
              <w:snapToGrid w:val="0"/>
              <w:spacing w:line="360" w:lineRule="auto"/>
              <w:rPr>
                <w:rFonts w:hint="eastAsia" w:ascii="宋体" w:hAnsi="宋体" w:eastAsia="宋体" w:cs="宋体"/>
                <w:kern w:val="0"/>
                <w:sz w:val="24"/>
              </w:rPr>
            </w:pPr>
          </w:p>
        </w:tc>
        <w:tc>
          <w:tcPr>
            <w:tcW w:w="2439" w:type="dxa"/>
            <w:tcBorders>
              <w:tl2br w:val="nil"/>
              <w:tr2bl w:val="nil"/>
            </w:tcBorders>
          </w:tcPr>
          <w:p w14:paraId="2D3843AF">
            <w:pPr>
              <w:adjustRightInd w:val="0"/>
              <w:snapToGrid w:val="0"/>
              <w:spacing w:line="360" w:lineRule="auto"/>
              <w:rPr>
                <w:rFonts w:hint="eastAsia" w:ascii="宋体" w:hAnsi="宋体" w:eastAsia="宋体" w:cs="宋体"/>
                <w:kern w:val="0"/>
                <w:sz w:val="24"/>
              </w:rPr>
            </w:pPr>
          </w:p>
        </w:tc>
        <w:tc>
          <w:tcPr>
            <w:tcW w:w="2961" w:type="dxa"/>
            <w:tcBorders>
              <w:tl2br w:val="nil"/>
              <w:tr2bl w:val="nil"/>
            </w:tcBorders>
          </w:tcPr>
          <w:p w14:paraId="62895AFA">
            <w:pPr>
              <w:adjustRightInd w:val="0"/>
              <w:snapToGrid w:val="0"/>
              <w:spacing w:line="360" w:lineRule="auto"/>
              <w:rPr>
                <w:rFonts w:hint="eastAsia" w:ascii="宋体" w:hAnsi="宋体" w:eastAsia="宋体" w:cs="宋体"/>
                <w:kern w:val="0"/>
                <w:sz w:val="24"/>
              </w:rPr>
            </w:pPr>
          </w:p>
        </w:tc>
      </w:tr>
      <w:tr w14:paraId="2813EC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7" w:type="dxa"/>
            <w:tcBorders>
              <w:tl2br w:val="nil"/>
              <w:tr2bl w:val="nil"/>
            </w:tcBorders>
          </w:tcPr>
          <w:p w14:paraId="61B6269F">
            <w:pPr>
              <w:adjustRightInd w:val="0"/>
              <w:snapToGrid w:val="0"/>
              <w:spacing w:line="360" w:lineRule="auto"/>
              <w:rPr>
                <w:rFonts w:hint="eastAsia" w:ascii="宋体" w:hAnsi="宋体" w:eastAsia="宋体" w:cs="宋体"/>
                <w:kern w:val="0"/>
                <w:sz w:val="24"/>
              </w:rPr>
            </w:pPr>
          </w:p>
        </w:tc>
        <w:tc>
          <w:tcPr>
            <w:tcW w:w="2963" w:type="dxa"/>
            <w:tcBorders>
              <w:tl2br w:val="nil"/>
              <w:tr2bl w:val="nil"/>
            </w:tcBorders>
          </w:tcPr>
          <w:p w14:paraId="23F495E7">
            <w:pPr>
              <w:adjustRightInd w:val="0"/>
              <w:snapToGrid w:val="0"/>
              <w:spacing w:line="360" w:lineRule="auto"/>
              <w:rPr>
                <w:rFonts w:hint="eastAsia" w:ascii="宋体" w:hAnsi="宋体" w:eastAsia="宋体" w:cs="宋体"/>
                <w:kern w:val="0"/>
                <w:sz w:val="24"/>
              </w:rPr>
            </w:pPr>
          </w:p>
        </w:tc>
        <w:tc>
          <w:tcPr>
            <w:tcW w:w="2439" w:type="dxa"/>
            <w:tcBorders>
              <w:tl2br w:val="nil"/>
              <w:tr2bl w:val="nil"/>
            </w:tcBorders>
          </w:tcPr>
          <w:p w14:paraId="79278738">
            <w:pPr>
              <w:adjustRightInd w:val="0"/>
              <w:snapToGrid w:val="0"/>
              <w:spacing w:line="360" w:lineRule="auto"/>
              <w:rPr>
                <w:rFonts w:hint="eastAsia" w:ascii="宋体" w:hAnsi="宋体" w:eastAsia="宋体" w:cs="宋体"/>
                <w:kern w:val="0"/>
                <w:sz w:val="24"/>
              </w:rPr>
            </w:pPr>
          </w:p>
        </w:tc>
        <w:tc>
          <w:tcPr>
            <w:tcW w:w="2961" w:type="dxa"/>
            <w:tcBorders>
              <w:tl2br w:val="nil"/>
              <w:tr2bl w:val="nil"/>
            </w:tcBorders>
          </w:tcPr>
          <w:p w14:paraId="7C7B7A68">
            <w:pPr>
              <w:adjustRightInd w:val="0"/>
              <w:snapToGrid w:val="0"/>
              <w:spacing w:line="360" w:lineRule="auto"/>
              <w:rPr>
                <w:rFonts w:hint="eastAsia" w:ascii="宋体" w:hAnsi="宋体" w:eastAsia="宋体" w:cs="宋体"/>
                <w:kern w:val="0"/>
                <w:sz w:val="24"/>
              </w:rPr>
            </w:pPr>
          </w:p>
        </w:tc>
      </w:tr>
      <w:tr w14:paraId="5FA05A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7" w:type="dxa"/>
            <w:tcBorders>
              <w:tl2br w:val="nil"/>
              <w:tr2bl w:val="nil"/>
            </w:tcBorders>
          </w:tcPr>
          <w:p w14:paraId="1F6F7805">
            <w:pPr>
              <w:adjustRightInd w:val="0"/>
              <w:snapToGrid w:val="0"/>
              <w:spacing w:line="360" w:lineRule="auto"/>
              <w:rPr>
                <w:rFonts w:hint="eastAsia" w:ascii="宋体" w:hAnsi="宋体" w:eastAsia="宋体" w:cs="宋体"/>
                <w:kern w:val="0"/>
                <w:sz w:val="24"/>
              </w:rPr>
            </w:pPr>
          </w:p>
        </w:tc>
        <w:tc>
          <w:tcPr>
            <w:tcW w:w="2963" w:type="dxa"/>
            <w:tcBorders>
              <w:tl2br w:val="nil"/>
              <w:tr2bl w:val="nil"/>
            </w:tcBorders>
          </w:tcPr>
          <w:p w14:paraId="125C169C">
            <w:pPr>
              <w:adjustRightInd w:val="0"/>
              <w:snapToGrid w:val="0"/>
              <w:spacing w:line="360" w:lineRule="auto"/>
              <w:rPr>
                <w:rFonts w:hint="eastAsia" w:ascii="宋体" w:hAnsi="宋体" w:eastAsia="宋体" w:cs="宋体"/>
                <w:kern w:val="0"/>
                <w:sz w:val="24"/>
              </w:rPr>
            </w:pPr>
          </w:p>
        </w:tc>
        <w:tc>
          <w:tcPr>
            <w:tcW w:w="2439" w:type="dxa"/>
            <w:tcBorders>
              <w:tl2br w:val="nil"/>
              <w:tr2bl w:val="nil"/>
            </w:tcBorders>
          </w:tcPr>
          <w:p w14:paraId="71DC1A63">
            <w:pPr>
              <w:adjustRightInd w:val="0"/>
              <w:snapToGrid w:val="0"/>
              <w:spacing w:line="360" w:lineRule="auto"/>
              <w:rPr>
                <w:rFonts w:hint="eastAsia" w:ascii="宋体" w:hAnsi="宋体" w:eastAsia="宋体" w:cs="宋体"/>
                <w:kern w:val="0"/>
                <w:sz w:val="24"/>
              </w:rPr>
            </w:pPr>
          </w:p>
        </w:tc>
        <w:tc>
          <w:tcPr>
            <w:tcW w:w="2961" w:type="dxa"/>
            <w:tcBorders>
              <w:tl2br w:val="nil"/>
              <w:tr2bl w:val="nil"/>
            </w:tcBorders>
          </w:tcPr>
          <w:p w14:paraId="23ED3F41">
            <w:pPr>
              <w:adjustRightInd w:val="0"/>
              <w:snapToGrid w:val="0"/>
              <w:spacing w:line="360" w:lineRule="auto"/>
              <w:rPr>
                <w:rFonts w:hint="eastAsia" w:ascii="宋体" w:hAnsi="宋体" w:eastAsia="宋体" w:cs="宋体"/>
                <w:kern w:val="0"/>
                <w:sz w:val="24"/>
              </w:rPr>
            </w:pPr>
          </w:p>
        </w:tc>
      </w:tr>
      <w:tr w14:paraId="0453B2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7" w:type="dxa"/>
            <w:tcBorders>
              <w:tl2br w:val="nil"/>
              <w:tr2bl w:val="nil"/>
            </w:tcBorders>
          </w:tcPr>
          <w:p w14:paraId="25C3BCA6">
            <w:pPr>
              <w:adjustRightInd w:val="0"/>
              <w:snapToGrid w:val="0"/>
              <w:spacing w:line="360" w:lineRule="auto"/>
              <w:rPr>
                <w:rFonts w:hint="eastAsia" w:ascii="宋体" w:hAnsi="宋体" w:eastAsia="宋体" w:cs="宋体"/>
                <w:kern w:val="0"/>
                <w:sz w:val="24"/>
              </w:rPr>
            </w:pPr>
          </w:p>
        </w:tc>
        <w:tc>
          <w:tcPr>
            <w:tcW w:w="2963" w:type="dxa"/>
            <w:tcBorders>
              <w:tl2br w:val="nil"/>
              <w:tr2bl w:val="nil"/>
            </w:tcBorders>
          </w:tcPr>
          <w:p w14:paraId="6128F44F">
            <w:pPr>
              <w:adjustRightInd w:val="0"/>
              <w:snapToGrid w:val="0"/>
              <w:spacing w:line="360" w:lineRule="auto"/>
              <w:rPr>
                <w:rFonts w:hint="eastAsia" w:ascii="宋体" w:hAnsi="宋体" w:eastAsia="宋体" w:cs="宋体"/>
                <w:kern w:val="0"/>
                <w:sz w:val="24"/>
              </w:rPr>
            </w:pPr>
          </w:p>
        </w:tc>
        <w:tc>
          <w:tcPr>
            <w:tcW w:w="2439" w:type="dxa"/>
            <w:tcBorders>
              <w:tl2br w:val="nil"/>
              <w:tr2bl w:val="nil"/>
            </w:tcBorders>
          </w:tcPr>
          <w:p w14:paraId="7B3169E4">
            <w:pPr>
              <w:adjustRightInd w:val="0"/>
              <w:snapToGrid w:val="0"/>
              <w:spacing w:line="360" w:lineRule="auto"/>
              <w:rPr>
                <w:rFonts w:hint="eastAsia" w:ascii="宋体" w:hAnsi="宋体" w:eastAsia="宋体" w:cs="宋体"/>
                <w:kern w:val="0"/>
                <w:sz w:val="24"/>
              </w:rPr>
            </w:pPr>
          </w:p>
        </w:tc>
        <w:tc>
          <w:tcPr>
            <w:tcW w:w="2961" w:type="dxa"/>
            <w:tcBorders>
              <w:tl2br w:val="nil"/>
              <w:tr2bl w:val="nil"/>
            </w:tcBorders>
          </w:tcPr>
          <w:p w14:paraId="31B83EF3">
            <w:pPr>
              <w:adjustRightInd w:val="0"/>
              <w:snapToGrid w:val="0"/>
              <w:spacing w:line="360" w:lineRule="auto"/>
              <w:rPr>
                <w:rFonts w:hint="eastAsia" w:ascii="宋体" w:hAnsi="宋体" w:eastAsia="宋体" w:cs="宋体"/>
                <w:kern w:val="0"/>
                <w:sz w:val="24"/>
              </w:rPr>
            </w:pPr>
          </w:p>
        </w:tc>
      </w:tr>
    </w:tbl>
    <w:p w14:paraId="19E5DBF5">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采购人（签字）：</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2234076B">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采购代理机构（签字）：</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410D5D4D">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38C12D1D">
      <w:pPr>
        <w:widowControl/>
        <w:jc w:val="left"/>
        <w:rPr>
          <w:rFonts w:hint="eastAsia" w:ascii="宋体" w:hAnsi="宋体" w:eastAsia="宋体" w:cs="宋体"/>
          <w:sz w:val="24"/>
        </w:rPr>
      </w:pPr>
      <w:r>
        <w:rPr>
          <w:rFonts w:hint="eastAsia" w:ascii="宋体" w:hAnsi="宋体" w:eastAsia="宋体" w:cs="宋体"/>
          <w:sz w:val="24"/>
        </w:rPr>
        <w:br w:type="page"/>
      </w:r>
    </w:p>
    <w:p w14:paraId="65EC78B7">
      <w:pPr>
        <w:keepNext/>
        <w:keepLines/>
        <w:widowControl w:val="0"/>
        <w:adjustRightInd w:val="0"/>
        <w:snapToGrid w:val="0"/>
        <w:spacing w:before="0" w:after="0" w:line="360" w:lineRule="auto"/>
        <w:jc w:val="both"/>
        <w:outlineLvl w:val="3"/>
        <w:rPr>
          <w:rFonts w:hint="eastAsia" w:ascii="宋体" w:hAnsi="宋体" w:eastAsia="宋体" w:cs="宋体"/>
          <w:b w:val="0"/>
          <w:bCs/>
          <w:kern w:val="2"/>
          <w:sz w:val="21"/>
          <w:szCs w:val="21"/>
          <w:lang w:val="en-US" w:eastAsia="zh-CN" w:bidi="ar-SA"/>
        </w:rPr>
      </w:pPr>
      <w:bookmarkStart w:id="67" w:name="_Toc19802"/>
      <w:r>
        <w:rPr>
          <w:rFonts w:hint="eastAsia" w:ascii="宋体" w:hAnsi="宋体" w:eastAsia="宋体" w:cs="宋体"/>
          <w:b w:val="0"/>
          <w:bCs/>
          <w:kern w:val="2"/>
          <w:sz w:val="21"/>
          <w:szCs w:val="21"/>
          <w:lang w:val="en-US" w:eastAsia="zh-CN" w:bidi="ar-SA"/>
        </w:rPr>
        <w:t>附表3 资格审查合格投标人名单</w:t>
      </w:r>
      <w:bookmarkEnd w:id="67"/>
    </w:p>
    <w:p w14:paraId="3BDFF3C0">
      <w:pPr>
        <w:adjustRightInd w:val="0"/>
        <w:snapToGrid w:val="0"/>
        <w:spacing w:line="360" w:lineRule="auto"/>
        <w:jc w:val="center"/>
        <w:rPr>
          <w:rFonts w:hint="eastAsia" w:ascii="宋体" w:hAnsi="宋体" w:eastAsia="宋体" w:cs="宋体"/>
          <w:b/>
          <w:sz w:val="28"/>
          <w:szCs w:val="28"/>
        </w:rPr>
      </w:pPr>
      <w:r>
        <w:rPr>
          <w:rFonts w:hint="eastAsia" w:ascii="宋体" w:hAnsi="宋体" w:eastAsia="宋体" w:cs="宋体"/>
          <w:b/>
          <w:sz w:val="28"/>
          <w:szCs w:val="28"/>
        </w:rPr>
        <w:t>资格审查合格投标人名单</w:t>
      </w:r>
    </w:p>
    <w:p w14:paraId="1996DC7A">
      <w:pPr>
        <w:adjustRightInd w:val="0"/>
        <w:snapToGrid w:val="0"/>
        <w:spacing w:line="360" w:lineRule="auto"/>
        <w:rPr>
          <w:rFonts w:hint="eastAsia" w:ascii="宋体" w:hAnsi="宋体" w:eastAsia="宋体" w:cs="宋体"/>
          <w:sz w:val="32"/>
          <w:szCs w:val="32"/>
        </w:rPr>
      </w:pPr>
      <w:r>
        <w:rPr>
          <w:rFonts w:hint="eastAsia" w:ascii="宋体" w:hAnsi="宋体" w:eastAsia="宋体" w:cs="宋体"/>
          <w:szCs w:val="21"/>
        </w:rPr>
        <w:t>项目名称：</w:t>
      </w:r>
      <w:r>
        <w:rPr>
          <w:rFonts w:hint="eastAsia" w:ascii="宋体" w:hAnsi="宋体" w:eastAsia="宋体" w:cs="宋体"/>
          <w:szCs w:val="21"/>
          <w:u w:val="single"/>
        </w:rPr>
        <w:t xml:space="preserve">       </w:t>
      </w:r>
      <w:r>
        <w:rPr>
          <w:rFonts w:hint="eastAsia" w:ascii="宋体" w:hAnsi="宋体" w:eastAsia="宋体" w:cs="宋体"/>
          <w:szCs w:val="21"/>
        </w:rPr>
        <w:t xml:space="preserve">                                        采购代理编号：</w:t>
      </w:r>
      <w:r>
        <w:rPr>
          <w:rFonts w:hint="eastAsia" w:ascii="宋体" w:hAnsi="宋体" w:eastAsia="宋体" w:cs="宋体"/>
          <w:szCs w:val="21"/>
          <w:u w:val="single"/>
        </w:rPr>
        <w:t xml:space="preserve">           </w:t>
      </w:r>
    </w:p>
    <w:tbl>
      <w:tblPr>
        <w:tblStyle w:val="3"/>
        <w:tblW w:w="8789"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3"/>
        <w:gridCol w:w="7796"/>
      </w:tblGrid>
      <w:tr w14:paraId="1F7C69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3" w:type="dxa"/>
            <w:tcBorders>
              <w:tl2br w:val="nil"/>
              <w:tr2bl w:val="nil"/>
            </w:tcBorders>
            <w:vAlign w:val="center"/>
          </w:tcPr>
          <w:p w14:paraId="4B94F1FC">
            <w:pPr>
              <w:jc w:val="center"/>
              <w:rPr>
                <w:rFonts w:hint="eastAsia" w:ascii="宋体" w:hAnsi="宋体" w:eastAsia="宋体" w:cs="宋体"/>
                <w:b/>
                <w:kern w:val="0"/>
                <w:szCs w:val="21"/>
              </w:rPr>
            </w:pPr>
            <w:r>
              <w:rPr>
                <w:rFonts w:hint="eastAsia" w:ascii="宋体" w:hAnsi="宋体" w:eastAsia="宋体" w:cs="宋体"/>
                <w:b/>
                <w:kern w:val="0"/>
                <w:szCs w:val="21"/>
              </w:rPr>
              <w:t>序号</w:t>
            </w:r>
          </w:p>
        </w:tc>
        <w:tc>
          <w:tcPr>
            <w:tcW w:w="7796" w:type="dxa"/>
            <w:tcBorders>
              <w:tl2br w:val="nil"/>
              <w:tr2bl w:val="nil"/>
            </w:tcBorders>
            <w:vAlign w:val="center"/>
          </w:tcPr>
          <w:p w14:paraId="2C143D32">
            <w:pPr>
              <w:jc w:val="center"/>
              <w:rPr>
                <w:rFonts w:hint="eastAsia" w:ascii="宋体" w:hAnsi="宋体" w:eastAsia="宋体" w:cs="宋体"/>
                <w:b/>
                <w:kern w:val="0"/>
                <w:szCs w:val="21"/>
              </w:rPr>
            </w:pPr>
            <w:r>
              <w:rPr>
                <w:rFonts w:hint="eastAsia" w:ascii="宋体" w:hAnsi="宋体" w:eastAsia="宋体" w:cs="宋体"/>
                <w:b/>
                <w:kern w:val="0"/>
                <w:szCs w:val="21"/>
              </w:rPr>
              <w:t>合格投标人名称</w:t>
            </w:r>
          </w:p>
        </w:tc>
      </w:tr>
      <w:tr w14:paraId="7F6BE8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3" w:type="dxa"/>
            <w:tcBorders>
              <w:tl2br w:val="nil"/>
              <w:tr2bl w:val="nil"/>
            </w:tcBorders>
          </w:tcPr>
          <w:p w14:paraId="02DBBE2A">
            <w:pPr>
              <w:adjustRightInd w:val="0"/>
              <w:snapToGrid w:val="0"/>
              <w:spacing w:line="360" w:lineRule="auto"/>
              <w:rPr>
                <w:rFonts w:hint="eastAsia" w:ascii="宋体" w:hAnsi="宋体" w:eastAsia="宋体" w:cs="宋体"/>
                <w:kern w:val="0"/>
                <w:szCs w:val="21"/>
              </w:rPr>
            </w:pPr>
          </w:p>
        </w:tc>
        <w:tc>
          <w:tcPr>
            <w:tcW w:w="7796" w:type="dxa"/>
            <w:tcBorders>
              <w:tl2br w:val="nil"/>
              <w:tr2bl w:val="nil"/>
            </w:tcBorders>
          </w:tcPr>
          <w:p w14:paraId="431B0A6E">
            <w:pPr>
              <w:adjustRightInd w:val="0"/>
              <w:snapToGrid w:val="0"/>
              <w:spacing w:line="360" w:lineRule="auto"/>
              <w:rPr>
                <w:rFonts w:hint="eastAsia" w:ascii="宋体" w:hAnsi="宋体" w:eastAsia="宋体" w:cs="宋体"/>
                <w:kern w:val="0"/>
                <w:szCs w:val="21"/>
              </w:rPr>
            </w:pPr>
          </w:p>
        </w:tc>
      </w:tr>
      <w:tr w14:paraId="13FBBC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3" w:type="dxa"/>
            <w:tcBorders>
              <w:tl2br w:val="nil"/>
              <w:tr2bl w:val="nil"/>
            </w:tcBorders>
          </w:tcPr>
          <w:p w14:paraId="69B5972D">
            <w:pPr>
              <w:adjustRightInd w:val="0"/>
              <w:snapToGrid w:val="0"/>
              <w:spacing w:line="360" w:lineRule="auto"/>
              <w:rPr>
                <w:rFonts w:hint="eastAsia" w:ascii="宋体" w:hAnsi="宋体" w:eastAsia="宋体" w:cs="宋体"/>
                <w:kern w:val="0"/>
                <w:sz w:val="24"/>
              </w:rPr>
            </w:pPr>
          </w:p>
        </w:tc>
        <w:tc>
          <w:tcPr>
            <w:tcW w:w="7796" w:type="dxa"/>
            <w:tcBorders>
              <w:tl2br w:val="nil"/>
              <w:tr2bl w:val="nil"/>
            </w:tcBorders>
          </w:tcPr>
          <w:p w14:paraId="76757AFA">
            <w:pPr>
              <w:adjustRightInd w:val="0"/>
              <w:snapToGrid w:val="0"/>
              <w:spacing w:line="360" w:lineRule="auto"/>
              <w:rPr>
                <w:rFonts w:hint="eastAsia" w:ascii="宋体" w:hAnsi="宋体" w:eastAsia="宋体" w:cs="宋体"/>
                <w:kern w:val="0"/>
                <w:sz w:val="24"/>
              </w:rPr>
            </w:pPr>
          </w:p>
        </w:tc>
      </w:tr>
      <w:tr w14:paraId="2373FB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3" w:type="dxa"/>
            <w:tcBorders>
              <w:tl2br w:val="nil"/>
              <w:tr2bl w:val="nil"/>
            </w:tcBorders>
          </w:tcPr>
          <w:p w14:paraId="3B817257">
            <w:pPr>
              <w:adjustRightInd w:val="0"/>
              <w:snapToGrid w:val="0"/>
              <w:spacing w:line="360" w:lineRule="auto"/>
              <w:rPr>
                <w:rFonts w:hint="eastAsia" w:ascii="宋体" w:hAnsi="宋体" w:eastAsia="宋体" w:cs="宋体"/>
                <w:kern w:val="0"/>
                <w:sz w:val="24"/>
              </w:rPr>
            </w:pPr>
          </w:p>
        </w:tc>
        <w:tc>
          <w:tcPr>
            <w:tcW w:w="7796" w:type="dxa"/>
            <w:tcBorders>
              <w:tl2br w:val="nil"/>
              <w:tr2bl w:val="nil"/>
            </w:tcBorders>
          </w:tcPr>
          <w:p w14:paraId="700C505D">
            <w:pPr>
              <w:adjustRightInd w:val="0"/>
              <w:snapToGrid w:val="0"/>
              <w:spacing w:line="360" w:lineRule="auto"/>
              <w:rPr>
                <w:rFonts w:hint="eastAsia" w:ascii="宋体" w:hAnsi="宋体" w:eastAsia="宋体" w:cs="宋体"/>
                <w:kern w:val="0"/>
                <w:sz w:val="24"/>
              </w:rPr>
            </w:pPr>
          </w:p>
        </w:tc>
      </w:tr>
      <w:tr w14:paraId="158FA0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3" w:type="dxa"/>
            <w:tcBorders>
              <w:tl2br w:val="nil"/>
              <w:tr2bl w:val="nil"/>
            </w:tcBorders>
          </w:tcPr>
          <w:p w14:paraId="3372A732">
            <w:pPr>
              <w:adjustRightInd w:val="0"/>
              <w:snapToGrid w:val="0"/>
              <w:spacing w:line="360" w:lineRule="auto"/>
              <w:rPr>
                <w:rFonts w:hint="eastAsia" w:ascii="宋体" w:hAnsi="宋体" w:eastAsia="宋体" w:cs="宋体"/>
                <w:kern w:val="0"/>
                <w:sz w:val="24"/>
              </w:rPr>
            </w:pPr>
          </w:p>
        </w:tc>
        <w:tc>
          <w:tcPr>
            <w:tcW w:w="7796" w:type="dxa"/>
            <w:tcBorders>
              <w:tl2br w:val="nil"/>
              <w:tr2bl w:val="nil"/>
            </w:tcBorders>
          </w:tcPr>
          <w:p w14:paraId="5084E69B">
            <w:pPr>
              <w:adjustRightInd w:val="0"/>
              <w:snapToGrid w:val="0"/>
              <w:spacing w:line="360" w:lineRule="auto"/>
              <w:rPr>
                <w:rFonts w:hint="eastAsia" w:ascii="宋体" w:hAnsi="宋体" w:eastAsia="宋体" w:cs="宋体"/>
                <w:kern w:val="0"/>
                <w:sz w:val="24"/>
              </w:rPr>
            </w:pPr>
          </w:p>
        </w:tc>
      </w:tr>
      <w:tr w14:paraId="09A250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3" w:type="dxa"/>
            <w:tcBorders>
              <w:tl2br w:val="nil"/>
              <w:tr2bl w:val="nil"/>
            </w:tcBorders>
          </w:tcPr>
          <w:p w14:paraId="41FBE119">
            <w:pPr>
              <w:adjustRightInd w:val="0"/>
              <w:snapToGrid w:val="0"/>
              <w:spacing w:line="360" w:lineRule="auto"/>
              <w:rPr>
                <w:rFonts w:hint="eastAsia" w:ascii="宋体" w:hAnsi="宋体" w:eastAsia="宋体" w:cs="宋体"/>
                <w:kern w:val="0"/>
                <w:sz w:val="24"/>
              </w:rPr>
            </w:pPr>
          </w:p>
        </w:tc>
        <w:tc>
          <w:tcPr>
            <w:tcW w:w="7796" w:type="dxa"/>
            <w:tcBorders>
              <w:tl2br w:val="nil"/>
              <w:tr2bl w:val="nil"/>
            </w:tcBorders>
          </w:tcPr>
          <w:p w14:paraId="76F755C5">
            <w:pPr>
              <w:adjustRightInd w:val="0"/>
              <w:snapToGrid w:val="0"/>
              <w:spacing w:line="360" w:lineRule="auto"/>
              <w:rPr>
                <w:rFonts w:hint="eastAsia" w:ascii="宋体" w:hAnsi="宋体" w:eastAsia="宋体" w:cs="宋体"/>
                <w:kern w:val="0"/>
                <w:sz w:val="24"/>
              </w:rPr>
            </w:pPr>
          </w:p>
        </w:tc>
      </w:tr>
      <w:tr w14:paraId="0A11B9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3" w:type="dxa"/>
            <w:tcBorders>
              <w:tl2br w:val="nil"/>
              <w:tr2bl w:val="nil"/>
            </w:tcBorders>
          </w:tcPr>
          <w:p w14:paraId="32FD6B64">
            <w:pPr>
              <w:adjustRightInd w:val="0"/>
              <w:snapToGrid w:val="0"/>
              <w:spacing w:line="360" w:lineRule="auto"/>
              <w:rPr>
                <w:rFonts w:hint="eastAsia" w:ascii="宋体" w:hAnsi="宋体" w:eastAsia="宋体" w:cs="宋体"/>
                <w:kern w:val="0"/>
                <w:sz w:val="24"/>
              </w:rPr>
            </w:pPr>
          </w:p>
        </w:tc>
        <w:tc>
          <w:tcPr>
            <w:tcW w:w="7796" w:type="dxa"/>
            <w:tcBorders>
              <w:tl2br w:val="nil"/>
              <w:tr2bl w:val="nil"/>
            </w:tcBorders>
          </w:tcPr>
          <w:p w14:paraId="3F0DA8CE">
            <w:pPr>
              <w:adjustRightInd w:val="0"/>
              <w:snapToGrid w:val="0"/>
              <w:spacing w:line="360" w:lineRule="auto"/>
              <w:rPr>
                <w:rFonts w:hint="eastAsia" w:ascii="宋体" w:hAnsi="宋体" w:eastAsia="宋体" w:cs="宋体"/>
                <w:kern w:val="0"/>
                <w:sz w:val="24"/>
              </w:rPr>
            </w:pPr>
          </w:p>
        </w:tc>
      </w:tr>
    </w:tbl>
    <w:p w14:paraId="650B4AAD">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采购人（签字）：</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7D3CABFB">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采购代理机构（签字）：</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1B9EB3EC">
      <w:pPr>
        <w:rPr>
          <w:rFonts w:hint="eastAsia" w:ascii="宋体" w:hAnsi="宋体" w:eastAsia="宋体" w:cs="宋体"/>
          <w:b/>
          <w:sz w:val="32"/>
          <w:szCs w:val="32"/>
        </w:rPr>
      </w:pPr>
      <w:r>
        <w:rPr>
          <w:rFonts w:hint="eastAsia" w:ascii="宋体" w:hAnsi="宋体" w:eastAsia="宋体" w:cs="宋体"/>
          <w:szCs w:val="21"/>
        </w:rPr>
        <w:t>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r>
        <w:rPr>
          <w:rFonts w:hint="eastAsia" w:ascii="宋体" w:hAnsi="宋体" w:eastAsia="宋体" w:cs="宋体"/>
        </w:rPr>
        <w:br w:type="page"/>
      </w:r>
    </w:p>
    <w:p w14:paraId="32692267">
      <w:pPr>
        <w:widowControl w:val="0"/>
        <w:adjustRightInd w:val="0"/>
        <w:snapToGrid w:val="0"/>
        <w:spacing w:line="360" w:lineRule="auto"/>
        <w:jc w:val="center"/>
        <w:outlineLvl w:val="0"/>
        <w:rPr>
          <w:rFonts w:hint="eastAsia" w:ascii="宋体" w:hAnsi="宋体" w:eastAsia="宋体" w:cs="宋体"/>
          <w:b/>
          <w:kern w:val="2"/>
          <w:sz w:val="28"/>
          <w:szCs w:val="28"/>
          <w:lang w:val="en-US" w:eastAsia="zh-CN" w:bidi="ar-SA"/>
        </w:rPr>
      </w:pPr>
      <w:bookmarkStart w:id="68" w:name="_Toc20416"/>
      <w:r>
        <w:rPr>
          <w:rFonts w:hint="eastAsia" w:ascii="宋体" w:hAnsi="宋体" w:eastAsia="宋体" w:cs="宋体"/>
          <w:b/>
          <w:kern w:val="2"/>
          <w:sz w:val="32"/>
          <w:szCs w:val="32"/>
          <w:lang w:val="en-US" w:eastAsia="zh-CN" w:bidi="ar-SA"/>
        </w:rPr>
        <w:t>第四章 评标方法及标准</w:t>
      </w:r>
      <w:bookmarkEnd w:id="68"/>
    </w:p>
    <w:p w14:paraId="06598FB4">
      <w:pPr>
        <w:keepNext/>
        <w:keepLines/>
        <w:widowControl w:val="0"/>
        <w:adjustRightInd w:val="0"/>
        <w:snapToGrid w:val="0"/>
        <w:spacing w:line="360" w:lineRule="auto"/>
        <w:jc w:val="center"/>
        <w:outlineLvl w:val="1"/>
        <w:rPr>
          <w:rFonts w:hint="eastAsia" w:ascii="宋体" w:hAnsi="宋体" w:eastAsia="宋体" w:cs="宋体"/>
          <w:b/>
          <w:bCs/>
          <w:kern w:val="2"/>
          <w:sz w:val="28"/>
          <w:szCs w:val="28"/>
          <w:lang w:val="en-US" w:eastAsia="zh-CN" w:bidi="ar-SA"/>
        </w:rPr>
      </w:pPr>
      <w:bookmarkStart w:id="69" w:name="_Toc18381"/>
      <w:r>
        <w:rPr>
          <w:rFonts w:hint="eastAsia" w:ascii="宋体" w:hAnsi="宋体" w:eastAsia="宋体" w:cs="宋体"/>
          <w:b/>
          <w:bCs/>
          <w:kern w:val="2"/>
          <w:sz w:val="28"/>
          <w:szCs w:val="28"/>
          <w:lang w:val="en-US" w:eastAsia="zh-CN" w:bidi="ar-SA"/>
        </w:rPr>
        <w:t>第一节 评标方法及标准前附表</w:t>
      </w:r>
      <w:bookmarkEnd w:id="69"/>
    </w:p>
    <w:p w14:paraId="34EAAE67">
      <w:pPr>
        <w:adjustRightInd w:val="0"/>
        <w:snapToGrid w:val="0"/>
        <w:spacing w:line="360" w:lineRule="auto"/>
        <w:ind w:right="31" w:rightChars="15" w:firstLine="420" w:firstLineChars="200"/>
        <w:rPr>
          <w:rFonts w:hint="eastAsia" w:ascii="宋体" w:hAnsi="宋体" w:eastAsia="宋体" w:cs="宋体"/>
          <w:iCs/>
          <w:szCs w:val="21"/>
        </w:rPr>
      </w:pPr>
      <w:r>
        <w:rPr>
          <w:rFonts w:hint="eastAsia" w:ascii="宋体" w:hAnsi="宋体" w:eastAsia="宋体" w:cs="宋体"/>
          <w:iCs/>
          <w:szCs w:val="21"/>
        </w:rPr>
        <w:t>本项目启用的条款在“编列内容规定”栏内以“■”标注。</w:t>
      </w:r>
    </w:p>
    <w:tbl>
      <w:tblPr>
        <w:tblStyle w:val="2"/>
        <w:tblpPr w:leftFromText="180" w:rightFromText="180" w:vertAnchor="text" w:horzAnchor="page" w:tblpX="1560" w:tblpY="407"/>
        <w:tblOverlap w:val="never"/>
        <w:tblW w:w="897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2268"/>
        <w:gridCol w:w="5007"/>
      </w:tblGrid>
      <w:tr w14:paraId="7AD65A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1" w:type="dxa"/>
            <w:tcBorders>
              <w:tl2br w:val="nil"/>
              <w:tr2bl w:val="nil"/>
            </w:tcBorders>
          </w:tcPr>
          <w:p w14:paraId="2A31803C">
            <w:pPr>
              <w:adjustRightInd w:val="0"/>
              <w:snapToGrid w:val="0"/>
              <w:spacing w:before="161" w:beforeLines="50" w:line="360" w:lineRule="auto"/>
              <w:jc w:val="center"/>
              <w:rPr>
                <w:rFonts w:hint="eastAsia" w:ascii="宋体" w:hAnsi="宋体" w:eastAsia="宋体" w:cs="宋体"/>
                <w:b/>
              </w:rPr>
            </w:pPr>
            <w:r>
              <w:rPr>
                <w:rFonts w:hint="eastAsia" w:ascii="宋体" w:hAnsi="宋体" w:eastAsia="宋体" w:cs="宋体"/>
                <w:b/>
              </w:rPr>
              <w:t>条款号</w:t>
            </w:r>
          </w:p>
        </w:tc>
        <w:tc>
          <w:tcPr>
            <w:tcW w:w="2268" w:type="dxa"/>
            <w:tcBorders>
              <w:tl2br w:val="nil"/>
              <w:tr2bl w:val="nil"/>
            </w:tcBorders>
          </w:tcPr>
          <w:p w14:paraId="481136F8">
            <w:pPr>
              <w:adjustRightInd w:val="0"/>
              <w:snapToGrid w:val="0"/>
              <w:spacing w:before="161" w:beforeLines="50" w:line="360" w:lineRule="auto"/>
              <w:jc w:val="center"/>
              <w:rPr>
                <w:rFonts w:hint="eastAsia" w:ascii="宋体" w:hAnsi="宋体" w:eastAsia="宋体" w:cs="宋体"/>
                <w:b/>
              </w:rPr>
            </w:pPr>
            <w:r>
              <w:rPr>
                <w:rFonts w:hint="eastAsia" w:ascii="宋体" w:hAnsi="宋体" w:eastAsia="宋体" w:cs="宋体"/>
                <w:b/>
              </w:rPr>
              <w:t>条款名称</w:t>
            </w:r>
          </w:p>
        </w:tc>
        <w:tc>
          <w:tcPr>
            <w:tcW w:w="5007" w:type="dxa"/>
            <w:tcBorders>
              <w:tl2br w:val="nil"/>
              <w:tr2bl w:val="nil"/>
            </w:tcBorders>
          </w:tcPr>
          <w:p w14:paraId="57769246">
            <w:pPr>
              <w:adjustRightInd w:val="0"/>
              <w:snapToGrid w:val="0"/>
              <w:spacing w:before="161" w:beforeLines="50" w:line="360" w:lineRule="auto"/>
              <w:jc w:val="center"/>
              <w:rPr>
                <w:rFonts w:hint="eastAsia" w:ascii="宋体" w:hAnsi="宋体" w:eastAsia="宋体" w:cs="宋体"/>
                <w:b/>
              </w:rPr>
            </w:pPr>
            <w:r>
              <w:rPr>
                <w:rFonts w:hint="eastAsia" w:ascii="宋体" w:hAnsi="宋体" w:eastAsia="宋体" w:cs="宋体"/>
                <w:b/>
              </w:rPr>
              <w:t>编列内容规定</w:t>
            </w:r>
          </w:p>
        </w:tc>
      </w:tr>
      <w:tr w14:paraId="1910C3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1" w:type="dxa"/>
            <w:tcBorders>
              <w:tl2br w:val="nil"/>
              <w:tr2bl w:val="nil"/>
            </w:tcBorders>
            <w:vAlign w:val="center"/>
          </w:tcPr>
          <w:p w14:paraId="0C5BB162">
            <w:pPr>
              <w:adjustRightInd w:val="0"/>
              <w:snapToGrid w:val="0"/>
              <w:spacing w:before="161" w:beforeLines="50" w:line="360" w:lineRule="auto"/>
              <w:jc w:val="center"/>
              <w:rPr>
                <w:rFonts w:hint="eastAsia" w:ascii="宋体" w:hAnsi="宋体" w:eastAsia="宋体" w:cs="宋体"/>
                <w:szCs w:val="21"/>
              </w:rPr>
            </w:pPr>
            <w:r>
              <w:rPr>
                <w:rFonts w:hint="eastAsia" w:ascii="宋体" w:hAnsi="宋体" w:eastAsia="宋体" w:cs="宋体"/>
                <w:szCs w:val="21"/>
              </w:rPr>
              <w:t>第1.3</w:t>
            </w:r>
            <w:r>
              <w:rPr>
                <w:rFonts w:hint="eastAsia" w:ascii="宋体" w:hAnsi="宋体" w:eastAsia="宋体" w:cs="宋体"/>
                <w:kern w:val="0"/>
                <w:szCs w:val="21"/>
                <w:lang w:val="zh-CN"/>
              </w:rPr>
              <w:t>款</w:t>
            </w:r>
          </w:p>
        </w:tc>
        <w:tc>
          <w:tcPr>
            <w:tcW w:w="2268" w:type="dxa"/>
            <w:tcBorders>
              <w:tl2br w:val="nil"/>
              <w:tr2bl w:val="nil"/>
            </w:tcBorders>
            <w:vAlign w:val="center"/>
          </w:tcPr>
          <w:p w14:paraId="34B0A2E4">
            <w:pPr>
              <w:adjustRightInd w:val="0"/>
              <w:snapToGrid w:val="0"/>
              <w:spacing w:before="161" w:beforeLines="50" w:line="360" w:lineRule="auto"/>
              <w:jc w:val="center"/>
              <w:rPr>
                <w:rFonts w:hint="eastAsia" w:ascii="宋体" w:hAnsi="宋体" w:eastAsia="宋体" w:cs="宋体"/>
                <w:szCs w:val="21"/>
              </w:rPr>
            </w:pPr>
            <w:r>
              <w:rPr>
                <w:rFonts w:hint="eastAsia" w:ascii="宋体" w:hAnsi="宋体" w:eastAsia="宋体" w:cs="宋体"/>
                <w:szCs w:val="21"/>
              </w:rPr>
              <w:t>评标方法</w:t>
            </w:r>
          </w:p>
        </w:tc>
        <w:tc>
          <w:tcPr>
            <w:tcW w:w="5007" w:type="dxa"/>
            <w:tcBorders>
              <w:tl2br w:val="nil"/>
              <w:tr2bl w:val="nil"/>
            </w:tcBorders>
            <w:vAlign w:val="center"/>
          </w:tcPr>
          <w:p w14:paraId="7765D7B2">
            <w:pPr>
              <w:adjustRightInd w:val="0"/>
              <w:snapToGrid w:val="0"/>
              <w:spacing w:before="161" w:beforeLines="50" w:line="360" w:lineRule="auto"/>
              <w:jc w:val="center"/>
              <w:rPr>
                <w:rFonts w:hint="eastAsia" w:ascii="宋体" w:hAnsi="宋体" w:eastAsia="宋体" w:cs="宋体"/>
                <w:szCs w:val="21"/>
              </w:rPr>
            </w:pPr>
            <w:r>
              <w:rPr>
                <w:rFonts w:hint="eastAsia" w:ascii="宋体" w:hAnsi="宋体" w:eastAsia="宋体" w:cs="宋体"/>
                <w:szCs w:val="21"/>
              </w:rPr>
              <w:t>综合评分法</w:t>
            </w:r>
          </w:p>
        </w:tc>
      </w:tr>
      <w:tr w14:paraId="2F90AF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1" w:type="dxa"/>
            <w:tcBorders>
              <w:tl2br w:val="nil"/>
              <w:tr2bl w:val="nil"/>
            </w:tcBorders>
            <w:vAlign w:val="center"/>
          </w:tcPr>
          <w:p w14:paraId="33352861">
            <w:pPr>
              <w:adjustRightInd w:val="0"/>
              <w:snapToGrid w:val="0"/>
              <w:spacing w:before="161" w:beforeLines="50" w:line="360" w:lineRule="auto"/>
              <w:jc w:val="center"/>
              <w:rPr>
                <w:rFonts w:hint="eastAsia" w:ascii="宋体" w:hAnsi="宋体" w:eastAsia="宋体" w:cs="宋体"/>
                <w:szCs w:val="21"/>
              </w:rPr>
            </w:pPr>
            <w:r>
              <w:rPr>
                <w:rFonts w:hint="eastAsia" w:ascii="宋体" w:hAnsi="宋体" w:eastAsia="宋体" w:cs="宋体"/>
                <w:szCs w:val="21"/>
              </w:rPr>
              <w:t>第3.4</w:t>
            </w:r>
            <w:r>
              <w:rPr>
                <w:rFonts w:hint="eastAsia" w:ascii="宋体" w:hAnsi="宋体" w:eastAsia="宋体" w:cs="宋体"/>
                <w:kern w:val="0"/>
                <w:szCs w:val="21"/>
                <w:lang w:val="zh-CN"/>
              </w:rPr>
              <w:t>款</w:t>
            </w:r>
          </w:p>
        </w:tc>
        <w:tc>
          <w:tcPr>
            <w:tcW w:w="2268" w:type="dxa"/>
            <w:tcBorders>
              <w:tl2br w:val="nil"/>
              <w:tr2bl w:val="nil"/>
            </w:tcBorders>
            <w:vAlign w:val="center"/>
          </w:tcPr>
          <w:p w14:paraId="195AE9F5">
            <w:pPr>
              <w:adjustRightInd w:val="0"/>
              <w:snapToGrid w:val="0"/>
              <w:spacing w:before="161" w:beforeLines="50" w:line="360" w:lineRule="auto"/>
              <w:jc w:val="center"/>
              <w:rPr>
                <w:rFonts w:hint="eastAsia" w:ascii="宋体" w:hAnsi="宋体" w:eastAsia="宋体" w:cs="宋体"/>
                <w:bCs/>
                <w:szCs w:val="21"/>
              </w:rPr>
            </w:pPr>
            <w:r>
              <w:rPr>
                <w:rFonts w:hint="eastAsia" w:ascii="宋体" w:hAnsi="宋体" w:eastAsia="宋体" w:cs="宋体"/>
                <w:bCs/>
                <w:szCs w:val="21"/>
              </w:rPr>
              <w:t>非单一产品采购项目的核心产品</w:t>
            </w:r>
          </w:p>
        </w:tc>
        <w:tc>
          <w:tcPr>
            <w:tcW w:w="5007" w:type="dxa"/>
            <w:tcBorders>
              <w:tl2br w:val="nil"/>
              <w:tr2bl w:val="nil"/>
            </w:tcBorders>
            <w:vAlign w:val="center"/>
          </w:tcPr>
          <w:p w14:paraId="4FCE11E0">
            <w:pPr>
              <w:widowControl w:val="0"/>
              <w:spacing w:before="78" w:line="360" w:lineRule="auto"/>
              <w:ind w:right="87"/>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本项目确定的核心产品为：</w:t>
            </w:r>
            <w:r>
              <w:rPr>
                <w:rFonts w:hint="eastAsia" w:ascii="宋体" w:hAnsi="宋体" w:eastAsia="宋体" w:cs="宋体"/>
                <w:b/>
                <w:kern w:val="2"/>
                <w:sz w:val="21"/>
                <w:szCs w:val="21"/>
                <w:lang w:val="en-US" w:eastAsia="zh-CN" w:bidi="zh-CN"/>
              </w:rPr>
              <w:t xml:space="preserve"> </w:t>
            </w:r>
            <w:r>
              <w:rPr>
                <w:rFonts w:hint="eastAsia" w:ascii="宋体" w:hAnsi="宋体" w:eastAsia="宋体" w:cs="宋体"/>
                <w:kern w:val="0"/>
                <w:sz w:val="21"/>
                <w:szCs w:val="21"/>
                <w:lang w:val="zh-CN" w:eastAsia="zh-CN" w:bidi="ar"/>
              </w:rPr>
              <w:t>酶标仪</w:t>
            </w:r>
            <w:r>
              <w:rPr>
                <w:rFonts w:hint="eastAsia" w:ascii="宋体" w:hAnsi="宋体" w:eastAsia="宋体" w:cs="宋体"/>
                <w:b/>
                <w:kern w:val="2"/>
                <w:sz w:val="21"/>
                <w:szCs w:val="21"/>
                <w:lang w:val="en-US" w:eastAsia="zh-CN" w:bidi="zh-CN"/>
              </w:rPr>
              <w:t xml:space="preserve">     </w:t>
            </w:r>
          </w:p>
        </w:tc>
      </w:tr>
      <w:tr w14:paraId="5FE0FA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1" w:type="dxa"/>
            <w:tcBorders>
              <w:tl2br w:val="nil"/>
              <w:tr2bl w:val="nil"/>
            </w:tcBorders>
            <w:vAlign w:val="center"/>
          </w:tcPr>
          <w:p w14:paraId="5C9EBFF3">
            <w:pPr>
              <w:adjustRightInd w:val="0"/>
              <w:snapToGrid w:val="0"/>
              <w:spacing w:before="161" w:beforeLines="50" w:line="360" w:lineRule="auto"/>
              <w:jc w:val="center"/>
              <w:rPr>
                <w:rFonts w:hint="eastAsia" w:ascii="宋体" w:hAnsi="宋体" w:eastAsia="宋体" w:cs="宋体"/>
                <w:szCs w:val="21"/>
              </w:rPr>
            </w:pPr>
            <w:r>
              <w:rPr>
                <w:rFonts w:hint="eastAsia" w:ascii="宋体" w:hAnsi="宋体" w:eastAsia="宋体" w:cs="宋体"/>
                <w:szCs w:val="21"/>
              </w:rPr>
              <w:t>第4.2</w:t>
            </w:r>
            <w:r>
              <w:rPr>
                <w:rFonts w:hint="eastAsia" w:ascii="宋体" w:hAnsi="宋体" w:eastAsia="宋体" w:cs="宋体"/>
                <w:kern w:val="0"/>
                <w:szCs w:val="21"/>
                <w:lang w:val="zh-CN"/>
              </w:rPr>
              <w:t>款</w:t>
            </w:r>
          </w:p>
        </w:tc>
        <w:tc>
          <w:tcPr>
            <w:tcW w:w="2268" w:type="dxa"/>
            <w:tcBorders>
              <w:tl2br w:val="nil"/>
              <w:tr2bl w:val="nil"/>
            </w:tcBorders>
            <w:vAlign w:val="center"/>
          </w:tcPr>
          <w:p w14:paraId="5136A77E">
            <w:pPr>
              <w:adjustRightInd w:val="0"/>
              <w:snapToGrid w:val="0"/>
              <w:spacing w:before="161" w:beforeLines="50" w:line="360" w:lineRule="auto"/>
              <w:jc w:val="center"/>
              <w:rPr>
                <w:rFonts w:hint="eastAsia" w:ascii="宋体" w:hAnsi="宋体" w:eastAsia="宋体" w:cs="宋体"/>
                <w:szCs w:val="21"/>
              </w:rPr>
            </w:pPr>
            <w:r>
              <w:rPr>
                <w:rFonts w:hint="eastAsia" w:ascii="宋体" w:hAnsi="宋体" w:eastAsia="宋体" w:cs="宋体"/>
                <w:szCs w:val="21"/>
              </w:rPr>
              <w:t>投标文件报价出现前后不一致的修正</w:t>
            </w:r>
          </w:p>
        </w:tc>
        <w:tc>
          <w:tcPr>
            <w:tcW w:w="5007" w:type="dxa"/>
            <w:tcBorders>
              <w:tl2br w:val="nil"/>
              <w:tr2bl w:val="nil"/>
            </w:tcBorders>
            <w:vAlign w:val="center"/>
          </w:tcPr>
          <w:p w14:paraId="38C45AED">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按本章第二节第4.2款规定修正。</w:t>
            </w:r>
          </w:p>
        </w:tc>
      </w:tr>
      <w:tr w14:paraId="23EF7A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1" w:type="dxa"/>
            <w:tcBorders>
              <w:tl2br w:val="nil"/>
              <w:tr2bl w:val="nil"/>
            </w:tcBorders>
            <w:vAlign w:val="center"/>
          </w:tcPr>
          <w:p w14:paraId="55058033">
            <w:pPr>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rPr>
              <w:t>第5.2（1）</w:t>
            </w:r>
            <w:r>
              <w:rPr>
                <w:rFonts w:hint="eastAsia" w:ascii="宋体" w:hAnsi="宋体" w:eastAsia="宋体" w:cs="宋体"/>
                <w:kern w:val="0"/>
                <w:szCs w:val="21"/>
                <w:lang w:val="zh-CN"/>
              </w:rPr>
              <w:t>项</w:t>
            </w:r>
          </w:p>
        </w:tc>
        <w:tc>
          <w:tcPr>
            <w:tcW w:w="2268" w:type="dxa"/>
            <w:tcBorders>
              <w:tl2br w:val="nil"/>
              <w:tr2bl w:val="nil"/>
            </w:tcBorders>
            <w:vAlign w:val="center"/>
          </w:tcPr>
          <w:p w14:paraId="4F140509">
            <w:pPr>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rPr>
              <w:t>相同品牌产品投标报价相同的</w:t>
            </w:r>
          </w:p>
        </w:tc>
        <w:tc>
          <w:tcPr>
            <w:tcW w:w="5007" w:type="dxa"/>
            <w:tcBorders>
              <w:tl2br w:val="nil"/>
              <w:tr2bl w:val="nil"/>
            </w:tcBorders>
            <w:vAlign w:val="center"/>
          </w:tcPr>
          <w:p w14:paraId="4E12024F">
            <w:pPr>
              <w:widowControl w:val="0"/>
              <w:spacing w:line="360" w:lineRule="auto"/>
              <w:jc w:val="both"/>
              <w:rPr>
                <w:rFonts w:hint="eastAsia" w:ascii="宋体" w:hAnsi="宋体" w:eastAsia="宋体" w:cs="宋体"/>
                <w:kern w:val="2"/>
                <w:sz w:val="21"/>
                <w:szCs w:val="21"/>
                <w:lang w:val="en-US" w:eastAsia="zh-CN" w:bidi="zh-CN"/>
              </w:rPr>
            </w:pPr>
            <w:r>
              <w:rPr>
                <w:rFonts w:hint="eastAsia" w:ascii="宋体" w:hAnsi="宋体" w:eastAsia="宋体" w:cs="宋体"/>
                <w:kern w:val="2"/>
                <w:sz w:val="21"/>
                <w:szCs w:val="21"/>
                <w:lang w:val="en-US" w:eastAsia="zh-CN" w:bidi="zh-CN"/>
              </w:rPr>
              <w:t>/（最低评标价法）</w:t>
            </w:r>
          </w:p>
        </w:tc>
      </w:tr>
      <w:tr w14:paraId="7C800D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1" w:type="dxa"/>
            <w:tcBorders>
              <w:tl2br w:val="nil"/>
              <w:tr2bl w:val="nil"/>
            </w:tcBorders>
            <w:vAlign w:val="center"/>
          </w:tcPr>
          <w:p w14:paraId="354C857C">
            <w:pPr>
              <w:adjustRightInd w:val="0"/>
              <w:snapToGrid w:val="0"/>
              <w:spacing w:before="161" w:beforeLines="50" w:line="360" w:lineRule="auto"/>
              <w:jc w:val="center"/>
              <w:rPr>
                <w:rFonts w:hint="eastAsia" w:ascii="宋体" w:hAnsi="宋体" w:eastAsia="宋体" w:cs="宋体"/>
                <w:szCs w:val="21"/>
              </w:rPr>
            </w:pPr>
            <w:r>
              <w:rPr>
                <w:rFonts w:hint="eastAsia" w:ascii="宋体" w:hAnsi="宋体" w:eastAsia="宋体" w:cs="宋体"/>
                <w:szCs w:val="21"/>
              </w:rPr>
              <w:t>第5.2（2）</w:t>
            </w:r>
            <w:r>
              <w:rPr>
                <w:rFonts w:hint="eastAsia" w:ascii="宋体" w:hAnsi="宋体" w:eastAsia="宋体" w:cs="宋体"/>
                <w:kern w:val="0"/>
                <w:szCs w:val="21"/>
                <w:lang w:val="zh-CN"/>
              </w:rPr>
              <w:t>项</w:t>
            </w:r>
          </w:p>
        </w:tc>
        <w:tc>
          <w:tcPr>
            <w:tcW w:w="2268" w:type="dxa"/>
            <w:tcBorders>
              <w:tl2br w:val="nil"/>
              <w:tr2bl w:val="nil"/>
            </w:tcBorders>
            <w:vAlign w:val="center"/>
          </w:tcPr>
          <w:p w14:paraId="53A9AB48">
            <w:pPr>
              <w:adjustRightInd w:val="0"/>
              <w:snapToGrid w:val="0"/>
              <w:spacing w:before="161" w:beforeLines="50" w:line="360" w:lineRule="auto"/>
              <w:jc w:val="center"/>
              <w:rPr>
                <w:rFonts w:hint="eastAsia" w:ascii="宋体" w:hAnsi="宋体" w:eastAsia="宋体" w:cs="宋体"/>
                <w:bCs/>
                <w:szCs w:val="21"/>
              </w:rPr>
            </w:pPr>
            <w:r>
              <w:rPr>
                <w:rFonts w:hint="eastAsia" w:ascii="宋体" w:hAnsi="宋体" w:eastAsia="宋体" w:cs="宋体"/>
                <w:bCs/>
                <w:szCs w:val="21"/>
              </w:rPr>
              <w:t>相同品牌产品评审得分相同的规定</w:t>
            </w:r>
          </w:p>
        </w:tc>
        <w:tc>
          <w:tcPr>
            <w:tcW w:w="5007" w:type="dxa"/>
            <w:tcBorders>
              <w:tl2br w:val="nil"/>
              <w:tr2bl w:val="nil"/>
            </w:tcBorders>
            <w:vAlign w:val="center"/>
          </w:tcPr>
          <w:p w14:paraId="2F1CBCB4">
            <w:pPr>
              <w:widowControl w:val="0"/>
              <w:spacing w:before="78" w:line="360" w:lineRule="auto"/>
              <w:ind w:right="87"/>
              <w:jc w:val="both"/>
              <w:rPr>
                <w:rFonts w:hint="eastAsia" w:ascii="宋体" w:hAnsi="宋体" w:eastAsia="宋体" w:cs="宋体"/>
                <w:kern w:val="2"/>
                <w:sz w:val="21"/>
                <w:szCs w:val="21"/>
                <w:lang w:val="zh-CN" w:eastAsia="zh-CN" w:bidi="zh-CN"/>
              </w:rPr>
            </w:pPr>
            <w:r>
              <w:rPr>
                <w:rFonts w:hint="eastAsia" w:ascii="宋体" w:hAnsi="宋体" w:eastAsia="宋体" w:cs="宋体"/>
                <w:kern w:val="2"/>
                <w:sz w:val="21"/>
                <w:szCs w:val="21"/>
                <w:lang w:val="en-US" w:eastAsia="zh-CN" w:bidi="ar-SA"/>
              </w:rPr>
              <w:t>评审得分相同的，按照技术和商务两项得分最高的确定一个投标人获得中标推荐资格，招标文件未规定的采取随机抽取方式确定，其他同品牌投标人不作为中标候选人。（综合评分法）</w:t>
            </w:r>
          </w:p>
        </w:tc>
      </w:tr>
      <w:tr w14:paraId="7068C0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1" w:type="dxa"/>
            <w:tcBorders>
              <w:tl2br w:val="nil"/>
              <w:tr2bl w:val="nil"/>
            </w:tcBorders>
            <w:vAlign w:val="center"/>
          </w:tcPr>
          <w:p w14:paraId="57862B46">
            <w:pPr>
              <w:adjustRightInd w:val="0"/>
              <w:snapToGrid w:val="0"/>
              <w:spacing w:before="161" w:beforeLines="50" w:line="360" w:lineRule="auto"/>
              <w:jc w:val="center"/>
              <w:rPr>
                <w:rFonts w:hint="eastAsia" w:ascii="宋体" w:hAnsi="宋体" w:eastAsia="宋体" w:cs="宋体"/>
                <w:szCs w:val="21"/>
              </w:rPr>
            </w:pPr>
            <w:r>
              <w:rPr>
                <w:rFonts w:hint="eastAsia" w:ascii="宋体" w:hAnsi="宋体" w:eastAsia="宋体" w:cs="宋体"/>
                <w:szCs w:val="21"/>
              </w:rPr>
              <w:t>第5.4（1）</w:t>
            </w:r>
            <w:r>
              <w:rPr>
                <w:rFonts w:hint="eastAsia" w:ascii="宋体" w:hAnsi="宋体" w:eastAsia="宋体" w:cs="宋体"/>
                <w:kern w:val="0"/>
                <w:szCs w:val="21"/>
                <w:lang w:val="zh-CN"/>
              </w:rPr>
              <w:t>项</w:t>
            </w:r>
          </w:p>
        </w:tc>
        <w:tc>
          <w:tcPr>
            <w:tcW w:w="2268" w:type="dxa"/>
            <w:tcBorders>
              <w:tl2br w:val="nil"/>
              <w:tr2bl w:val="nil"/>
            </w:tcBorders>
            <w:vAlign w:val="center"/>
          </w:tcPr>
          <w:p w14:paraId="5136F19F">
            <w:pPr>
              <w:adjustRightInd w:val="0"/>
              <w:snapToGrid w:val="0"/>
              <w:spacing w:before="161" w:beforeLines="50" w:line="360" w:lineRule="auto"/>
              <w:jc w:val="center"/>
              <w:rPr>
                <w:rFonts w:hint="eastAsia" w:ascii="宋体" w:hAnsi="宋体" w:eastAsia="宋体" w:cs="宋体"/>
                <w:bCs/>
                <w:szCs w:val="21"/>
              </w:rPr>
            </w:pPr>
            <w:r>
              <w:rPr>
                <w:rFonts w:hint="eastAsia" w:ascii="宋体" w:hAnsi="宋体" w:eastAsia="宋体" w:cs="宋体"/>
                <w:szCs w:val="21"/>
              </w:rPr>
              <w:t>价格评审优惠</w:t>
            </w:r>
          </w:p>
        </w:tc>
        <w:tc>
          <w:tcPr>
            <w:tcW w:w="5007" w:type="dxa"/>
            <w:tcBorders>
              <w:tl2br w:val="nil"/>
              <w:tr2bl w:val="nil"/>
            </w:tcBorders>
            <w:vAlign w:val="center"/>
          </w:tcPr>
          <w:p w14:paraId="43E04EC2">
            <w:pPr>
              <w:widowControl w:val="0"/>
              <w:adjustRightInd w:val="0"/>
              <w:spacing w:before="0" w:after="0" w:line="360" w:lineRule="auto"/>
              <w:jc w:val="both"/>
              <w:rPr>
                <w:rFonts w:hint="eastAsia" w:ascii="宋体" w:hAnsi="宋体" w:eastAsia="宋体" w:cs="宋体"/>
                <w:sz w:val="21"/>
                <w:szCs w:val="21"/>
                <w:lang w:val="ru-RU" w:eastAsia="zh-CN" w:bidi="ar-SA"/>
              </w:rPr>
            </w:pPr>
            <w:r>
              <w:rPr>
                <w:rFonts w:hint="eastAsia" w:ascii="宋体" w:hAnsi="宋体" w:eastAsia="宋体" w:cs="宋体"/>
                <w:sz w:val="21"/>
                <w:szCs w:val="21"/>
                <w:lang w:val="ru-RU" w:eastAsia="zh-CN" w:bidi="ar-SA"/>
              </w:rPr>
              <w:t>①对于经主管预算单位统筹后未预留份额专门面向中小企业采购的采购项目，以及预留份额项目中的非预留部分采购包，采购人、采购代理机构应当</w:t>
            </w:r>
            <w:r>
              <w:rPr>
                <w:rFonts w:hint="eastAsia" w:ascii="宋体" w:hAnsi="宋体" w:eastAsia="宋体" w:cs="宋体"/>
                <w:sz w:val="21"/>
                <w:szCs w:val="21"/>
                <w:lang w:val="en-US" w:eastAsia="zh-CN" w:bidi="ar-SA"/>
              </w:rPr>
              <w:t>对</w:t>
            </w:r>
            <w:r>
              <w:rPr>
                <w:rFonts w:hint="eastAsia" w:ascii="宋体" w:hAnsi="宋体" w:eastAsia="宋体" w:cs="宋体"/>
                <w:sz w:val="21"/>
                <w:szCs w:val="21"/>
                <w:lang w:val="ru-RU" w:eastAsia="zh-CN" w:bidi="ar-SA"/>
              </w:rPr>
              <w:t>符合《政府采购促进中小企业发展管理办法》（</w:t>
            </w:r>
            <w:r>
              <w:rPr>
                <w:rFonts w:hint="eastAsia" w:ascii="宋体" w:hAnsi="宋体" w:eastAsia="宋体" w:cs="宋体"/>
                <w:sz w:val="21"/>
                <w:szCs w:val="21"/>
                <w:lang w:val="en-US" w:eastAsia="zh-CN" w:bidi="ar-SA"/>
              </w:rPr>
              <w:t>财库[2020]46号文</w:t>
            </w:r>
            <w:r>
              <w:rPr>
                <w:rFonts w:hint="eastAsia" w:ascii="宋体" w:hAnsi="宋体" w:eastAsia="宋体" w:cs="宋体"/>
                <w:sz w:val="21"/>
                <w:szCs w:val="21"/>
                <w:lang w:val="ru-RU" w:eastAsia="zh-CN" w:bidi="ar-SA"/>
              </w:rPr>
              <w:t>）、《</w:t>
            </w:r>
            <w:r>
              <w:rPr>
                <w:rFonts w:hint="eastAsia" w:ascii="宋体" w:hAnsi="宋体" w:eastAsia="宋体" w:cs="宋体"/>
                <w:sz w:val="21"/>
                <w:szCs w:val="21"/>
                <w:lang w:val="en-US" w:eastAsia="zh-CN" w:bidi="ar-SA"/>
              </w:rPr>
              <w:t>湖南省财政厅关于政府采购促进中小企业发展有关措施的通知</w:t>
            </w:r>
            <w:r>
              <w:rPr>
                <w:rFonts w:hint="eastAsia" w:ascii="宋体" w:hAnsi="宋体" w:eastAsia="宋体" w:cs="宋体"/>
                <w:sz w:val="21"/>
                <w:szCs w:val="21"/>
                <w:lang w:val="ru-RU" w:eastAsia="zh-CN" w:bidi="ar-SA"/>
              </w:rPr>
              <w:t>》（</w:t>
            </w:r>
            <w:r>
              <w:rPr>
                <w:rFonts w:hint="eastAsia" w:ascii="宋体" w:hAnsi="宋体" w:eastAsia="宋体" w:cs="宋体"/>
                <w:sz w:val="21"/>
                <w:szCs w:val="21"/>
                <w:lang w:val="en-US" w:eastAsia="zh-CN" w:bidi="ar-SA"/>
              </w:rPr>
              <w:t>湘财购[2022]17号文</w:t>
            </w:r>
            <w:r>
              <w:rPr>
                <w:rFonts w:hint="eastAsia" w:ascii="宋体" w:hAnsi="宋体" w:eastAsia="宋体" w:cs="宋体"/>
                <w:sz w:val="21"/>
                <w:szCs w:val="21"/>
                <w:lang w:val="ru-RU" w:eastAsia="zh-CN" w:bidi="ar-SA"/>
              </w:rPr>
              <w:t>）规定的小微企业报价给予</w:t>
            </w:r>
            <w:r>
              <w:rPr>
                <w:rFonts w:hint="eastAsia" w:ascii="宋体" w:hAnsi="宋体" w:eastAsia="宋体" w:cs="宋体"/>
                <w:sz w:val="21"/>
                <w:szCs w:val="21"/>
                <w:lang w:val="en-US" w:eastAsia="zh-CN" w:bidi="ar-SA"/>
              </w:rPr>
              <w:t>10</w:t>
            </w:r>
            <w:r>
              <w:rPr>
                <w:rFonts w:hint="eastAsia" w:ascii="宋体" w:hAnsi="宋体" w:eastAsia="宋体" w:cs="宋体"/>
                <w:sz w:val="21"/>
                <w:szCs w:val="21"/>
                <w:lang w:val="ru-RU" w:eastAsia="zh-CN" w:bidi="ar-SA"/>
              </w:rPr>
              <w:t>%—</w:t>
            </w:r>
            <w:r>
              <w:rPr>
                <w:rFonts w:hint="eastAsia" w:ascii="宋体" w:hAnsi="宋体" w:eastAsia="宋体" w:cs="宋体"/>
                <w:sz w:val="21"/>
                <w:szCs w:val="21"/>
                <w:lang w:val="en-US" w:eastAsia="zh-CN" w:bidi="ar-SA"/>
              </w:rPr>
              <w:t>20</w:t>
            </w:r>
            <w:r>
              <w:rPr>
                <w:rFonts w:hint="eastAsia" w:ascii="宋体" w:hAnsi="宋体" w:eastAsia="宋体" w:cs="宋体"/>
                <w:sz w:val="21"/>
                <w:szCs w:val="21"/>
                <w:lang w:val="ru-RU" w:eastAsia="zh-CN" w:bidi="ar-SA"/>
              </w:rPr>
              <w:t>%（工程项目</w:t>
            </w:r>
            <w:r>
              <w:rPr>
                <w:rFonts w:hint="eastAsia" w:ascii="宋体" w:hAnsi="宋体" w:eastAsia="宋体" w:cs="宋体"/>
                <w:sz w:val="21"/>
                <w:szCs w:val="21"/>
                <w:lang w:val="en-US" w:eastAsia="zh-CN" w:bidi="ar-SA"/>
              </w:rPr>
              <w:t>6</w:t>
            </w:r>
            <w:r>
              <w:rPr>
                <w:rFonts w:hint="eastAsia" w:ascii="宋体" w:hAnsi="宋体" w:eastAsia="宋体" w:cs="宋体"/>
                <w:sz w:val="21"/>
                <w:szCs w:val="21"/>
                <w:lang w:val="ru-RU" w:eastAsia="zh-CN" w:bidi="ar-SA"/>
              </w:rPr>
              <w:t>%—</w:t>
            </w:r>
            <w:r>
              <w:rPr>
                <w:rFonts w:hint="eastAsia" w:ascii="宋体" w:hAnsi="宋体" w:eastAsia="宋体" w:cs="宋体"/>
                <w:sz w:val="21"/>
                <w:szCs w:val="21"/>
                <w:lang w:val="en-US" w:eastAsia="zh-CN" w:bidi="ar-SA"/>
              </w:rPr>
              <w:t>10</w:t>
            </w:r>
            <w:r>
              <w:rPr>
                <w:rFonts w:hint="eastAsia" w:ascii="宋体" w:hAnsi="宋体" w:eastAsia="宋体" w:cs="宋体"/>
                <w:sz w:val="21"/>
                <w:szCs w:val="21"/>
                <w:lang w:val="ru-RU" w:eastAsia="zh-CN" w:bidi="ar-SA"/>
              </w:rPr>
              <w:t>%）的扣除，用扣除后的价格参加评审。具体扣除比例</w:t>
            </w:r>
            <w:r>
              <w:rPr>
                <w:rFonts w:hint="eastAsia" w:ascii="宋体" w:hAnsi="宋体" w:eastAsia="宋体" w:cs="宋体"/>
                <w:sz w:val="21"/>
                <w:szCs w:val="21"/>
                <w:lang w:val="en-US" w:eastAsia="zh-CN" w:bidi="ar-SA"/>
              </w:rPr>
              <w:t>如下</w:t>
            </w:r>
            <w:r>
              <w:rPr>
                <w:rFonts w:hint="eastAsia" w:ascii="宋体" w:hAnsi="宋体" w:eastAsia="宋体" w:cs="宋体"/>
                <w:sz w:val="21"/>
                <w:szCs w:val="21"/>
                <w:lang w:val="ru-RU" w:eastAsia="zh-CN" w:bidi="ar-SA"/>
              </w:rPr>
              <w:t>：</w:t>
            </w:r>
          </w:p>
          <w:p w14:paraId="0F3A34D5">
            <w:pPr>
              <w:widowControl w:val="0"/>
              <w:adjustRightInd w:val="0"/>
              <w:spacing w:before="0" w:after="0" w:line="360" w:lineRule="auto"/>
              <w:jc w:val="both"/>
              <w:rPr>
                <w:rFonts w:hint="eastAsia" w:ascii="宋体" w:hAnsi="宋体" w:eastAsia="宋体" w:cs="宋体"/>
                <w:sz w:val="21"/>
                <w:szCs w:val="21"/>
                <w:lang w:val="ru-RU" w:eastAsia="zh-CN" w:bidi="ar-SA"/>
              </w:rPr>
            </w:pPr>
            <w:r>
              <w:rPr>
                <w:rFonts w:hint="eastAsia" w:ascii="宋体" w:hAnsi="宋体" w:eastAsia="宋体" w:cs="宋体"/>
                <w:iCs/>
                <w:sz w:val="21"/>
                <w:szCs w:val="21"/>
                <w:lang w:val="ru-RU" w:eastAsia="zh-CN" w:bidi="ar-SA"/>
              </w:rPr>
              <w:t>■</w:t>
            </w:r>
            <w:r>
              <w:rPr>
                <w:rFonts w:hint="eastAsia" w:ascii="宋体" w:hAnsi="宋体" w:eastAsia="宋体" w:cs="宋体"/>
                <w:snapToGrid w:val="0"/>
                <w:sz w:val="21"/>
                <w:szCs w:val="21"/>
                <w:lang w:val="en-US" w:eastAsia="zh-CN" w:bidi="ar-SA"/>
              </w:rPr>
              <w:t xml:space="preserve"> </w:t>
            </w:r>
            <w:r>
              <w:rPr>
                <w:rFonts w:hint="eastAsia" w:ascii="宋体" w:hAnsi="宋体" w:eastAsia="宋体" w:cs="宋体"/>
                <w:sz w:val="21"/>
                <w:szCs w:val="21"/>
                <w:lang w:val="ru-RU" w:eastAsia="zh-CN" w:bidi="ar-SA"/>
              </w:rPr>
              <w:t>货物采购：货物由</w:t>
            </w:r>
            <w:r>
              <w:rPr>
                <w:rFonts w:hint="eastAsia" w:ascii="宋体" w:hAnsi="宋体" w:eastAsia="宋体" w:cs="宋体"/>
                <w:sz w:val="21"/>
                <w:szCs w:val="21"/>
                <w:lang w:val="en-US" w:eastAsia="zh-CN" w:bidi="ar-SA"/>
              </w:rPr>
              <w:t>中小</w:t>
            </w:r>
            <w:r>
              <w:rPr>
                <w:rFonts w:hint="eastAsia" w:ascii="宋体" w:hAnsi="宋体" w:eastAsia="宋体" w:cs="宋体"/>
                <w:sz w:val="21"/>
                <w:szCs w:val="21"/>
                <w:lang w:val="ru-RU" w:eastAsia="zh-CN" w:bidi="ar-SA"/>
              </w:rPr>
              <w:t>企业制造，即货物由</w:t>
            </w:r>
            <w:r>
              <w:rPr>
                <w:rFonts w:hint="eastAsia" w:ascii="宋体" w:hAnsi="宋体" w:eastAsia="宋体" w:cs="宋体"/>
                <w:sz w:val="21"/>
                <w:szCs w:val="21"/>
                <w:lang w:val="en-US" w:eastAsia="zh-CN" w:bidi="ar-SA"/>
              </w:rPr>
              <w:t>中小</w:t>
            </w:r>
            <w:r>
              <w:rPr>
                <w:rFonts w:hint="eastAsia" w:ascii="宋体" w:hAnsi="宋体" w:eastAsia="宋体" w:cs="宋体"/>
                <w:sz w:val="21"/>
                <w:szCs w:val="21"/>
                <w:lang w:val="ru-RU" w:eastAsia="zh-CN" w:bidi="ar-SA"/>
              </w:rPr>
              <w:t>企业生产且使用该</w:t>
            </w:r>
            <w:r>
              <w:rPr>
                <w:rFonts w:hint="eastAsia" w:ascii="宋体" w:hAnsi="宋体" w:eastAsia="宋体" w:cs="宋体"/>
                <w:sz w:val="21"/>
                <w:szCs w:val="21"/>
                <w:lang w:val="en-US" w:eastAsia="zh-CN" w:bidi="ar-SA"/>
              </w:rPr>
              <w:t>中小</w:t>
            </w:r>
            <w:r>
              <w:rPr>
                <w:rFonts w:hint="eastAsia" w:ascii="宋体" w:hAnsi="宋体" w:eastAsia="宋体" w:cs="宋体"/>
                <w:sz w:val="21"/>
                <w:szCs w:val="21"/>
                <w:lang w:val="ru-RU" w:eastAsia="zh-CN" w:bidi="ar-SA"/>
              </w:rPr>
              <w:t>企业商号或者注册商标。</w:t>
            </w:r>
            <w:r>
              <w:rPr>
                <w:rFonts w:hint="eastAsia" w:ascii="宋体" w:hAnsi="宋体" w:eastAsia="宋体" w:cs="宋体"/>
                <w:b/>
                <w:bCs/>
                <w:sz w:val="21"/>
                <w:szCs w:val="21"/>
                <w:lang w:val="ru-RU" w:eastAsia="zh-CN" w:bidi="ar-SA"/>
              </w:rPr>
              <w:t>本项目给予小微企业</w:t>
            </w:r>
            <w:r>
              <w:rPr>
                <w:rFonts w:hint="eastAsia" w:ascii="宋体" w:hAnsi="宋体" w:eastAsia="宋体" w:cs="宋体"/>
                <w:b/>
                <w:bCs/>
                <w:sz w:val="21"/>
                <w:szCs w:val="21"/>
                <w:u w:val="single"/>
                <w:lang w:val="en-US" w:eastAsia="zh-CN" w:bidi="ar-SA"/>
              </w:rPr>
              <w:t xml:space="preserve"> 10 </w:t>
            </w:r>
            <w:r>
              <w:rPr>
                <w:rFonts w:hint="eastAsia" w:ascii="宋体" w:hAnsi="宋体" w:eastAsia="宋体" w:cs="宋体"/>
                <w:b/>
                <w:bCs/>
                <w:sz w:val="21"/>
                <w:szCs w:val="21"/>
                <w:lang w:val="ru-RU" w:eastAsia="zh-CN" w:bidi="ar-SA"/>
              </w:rPr>
              <w:t>%的扣除。</w:t>
            </w:r>
          </w:p>
          <w:p w14:paraId="47098660">
            <w:pPr>
              <w:widowControl w:val="0"/>
              <w:adjustRightInd w:val="0"/>
              <w:spacing w:before="0" w:after="0" w:line="360" w:lineRule="auto"/>
              <w:jc w:val="left"/>
              <w:rPr>
                <w:rFonts w:hint="eastAsia" w:ascii="宋体" w:hAnsi="宋体" w:eastAsia="宋体" w:cs="宋体"/>
                <w:sz w:val="21"/>
                <w:szCs w:val="21"/>
                <w:lang w:val="ru-RU" w:eastAsia="zh-CN" w:bidi="ar-SA"/>
              </w:rPr>
            </w:pPr>
            <w:r>
              <w:rPr>
                <w:rFonts w:hint="eastAsia" w:ascii="宋体" w:hAnsi="宋体" w:eastAsia="宋体" w:cs="宋体"/>
                <w:sz w:val="21"/>
                <w:szCs w:val="21"/>
                <w:lang w:val="ru-RU" w:eastAsia="zh-CN" w:bidi="ar-SA"/>
              </w:rPr>
              <w:t>□工程采购：工程由</w:t>
            </w:r>
            <w:r>
              <w:rPr>
                <w:rFonts w:hint="eastAsia" w:ascii="宋体" w:hAnsi="宋体" w:eastAsia="宋体" w:cs="宋体"/>
                <w:sz w:val="21"/>
                <w:szCs w:val="21"/>
                <w:lang w:val="en-US" w:eastAsia="zh-CN" w:bidi="ar-SA"/>
              </w:rPr>
              <w:t>中小</w:t>
            </w:r>
            <w:r>
              <w:rPr>
                <w:rFonts w:hint="eastAsia" w:ascii="宋体" w:hAnsi="宋体" w:eastAsia="宋体" w:cs="宋体"/>
                <w:sz w:val="21"/>
                <w:szCs w:val="21"/>
                <w:lang w:val="ru-RU" w:eastAsia="zh-CN" w:bidi="ar-SA"/>
              </w:rPr>
              <w:t>企业承建，即工程施工单位为</w:t>
            </w:r>
            <w:r>
              <w:rPr>
                <w:rFonts w:hint="eastAsia" w:ascii="宋体" w:hAnsi="宋体" w:eastAsia="宋体" w:cs="宋体"/>
                <w:sz w:val="21"/>
                <w:szCs w:val="21"/>
                <w:lang w:val="en-US" w:eastAsia="zh-CN" w:bidi="ar-SA"/>
              </w:rPr>
              <w:t>中小</w:t>
            </w:r>
            <w:r>
              <w:rPr>
                <w:rFonts w:hint="eastAsia" w:ascii="宋体" w:hAnsi="宋体" w:eastAsia="宋体" w:cs="宋体"/>
                <w:sz w:val="21"/>
                <w:szCs w:val="21"/>
                <w:lang w:val="ru-RU" w:eastAsia="zh-CN" w:bidi="ar-SA"/>
              </w:rPr>
              <w:t>企业。本项目给予小微企业</w:t>
            </w:r>
            <w:r>
              <w:rPr>
                <w:rFonts w:hint="eastAsia" w:ascii="宋体" w:hAnsi="宋体" w:eastAsia="宋体" w:cs="宋体"/>
                <w:sz w:val="21"/>
                <w:szCs w:val="21"/>
                <w:u w:val="single"/>
                <w:lang w:val="en-US" w:eastAsia="zh-CN" w:bidi="ar-SA"/>
              </w:rPr>
              <w:t xml:space="preserve"> / </w:t>
            </w:r>
            <w:r>
              <w:rPr>
                <w:rFonts w:hint="eastAsia" w:ascii="宋体" w:hAnsi="宋体" w:eastAsia="宋体" w:cs="宋体"/>
                <w:sz w:val="21"/>
                <w:szCs w:val="21"/>
                <w:lang w:val="en-US" w:eastAsia="zh-CN" w:bidi="ar-SA"/>
              </w:rPr>
              <w:t>%</w:t>
            </w:r>
            <w:r>
              <w:rPr>
                <w:rFonts w:hint="eastAsia" w:ascii="宋体" w:hAnsi="宋体" w:eastAsia="宋体" w:cs="宋体"/>
                <w:sz w:val="21"/>
                <w:szCs w:val="21"/>
                <w:lang w:val="ru-RU" w:eastAsia="zh-CN" w:bidi="ar-SA"/>
              </w:rPr>
              <w:t>的扣除。</w:t>
            </w:r>
          </w:p>
          <w:p w14:paraId="5374F727">
            <w:pPr>
              <w:widowControl w:val="0"/>
              <w:adjustRightInd w:val="0"/>
              <w:spacing w:before="0" w:after="0" w:line="360" w:lineRule="auto"/>
              <w:jc w:val="left"/>
              <w:rPr>
                <w:rFonts w:hint="eastAsia" w:ascii="宋体" w:hAnsi="宋体" w:eastAsia="宋体" w:cs="宋体"/>
                <w:sz w:val="21"/>
                <w:szCs w:val="21"/>
                <w:lang w:val="en-US" w:eastAsia="zh-CN" w:bidi="ar-SA"/>
              </w:rPr>
            </w:pPr>
            <w:r>
              <w:rPr>
                <w:rFonts w:hint="eastAsia" w:ascii="宋体" w:hAnsi="宋体" w:eastAsia="宋体" w:cs="宋体"/>
                <w:sz w:val="21"/>
                <w:szCs w:val="21"/>
                <w:lang w:val="ru-RU" w:eastAsia="zh-CN" w:bidi="ar-SA"/>
              </w:rPr>
              <w:t>□服务采购：服务由</w:t>
            </w:r>
            <w:r>
              <w:rPr>
                <w:rFonts w:hint="eastAsia" w:ascii="宋体" w:hAnsi="宋体" w:eastAsia="宋体" w:cs="宋体"/>
                <w:sz w:val="21"/>
                <w:szCs w:val="21"/>
                <w:lang w:val="en-US" w:eastAsia="zh-CN" w:bidi="ar-SA"/>
              </w:rPr>
              <w:t>中小</w:t>
            </w:r>
            <w:r>
              <w:rPr>
                <w:rFonts w:hint="eastAsia" w:ascii="宋体" w:hAnsi="宋体" w:eastAsia="宋体" w:cs="宋体"/>
                <w:sz w:val="21"/>
                <w:szCs w:val="21"/>
                <w:lang w:val="ru-RU" w:eastAsia="zh-CN" w:bidi="ar-SA"/>
              </w:rPr>
              <w:t>企业承接，即提供服务的人员为</w:t>
            </w:r>
            <w:r>
              <w:rPr>
                <w:rFonts w:hint="eastAsia" w:ascii="宋体" w:hAnsi="宋体" w:eastAsia="宋体" w:cs="宋体"/>
                <w:sz w:val="21"/>
                <w:szCs w:val="21"/>
                <w:lang w:val="en-US" w:eastAsia="zh-CN" w:bidi="ar-SA"/>
              </w:rPr>
              <w:t>中小</w:t>
            </w:r>
            <w:r>
              <w:rPr>
                <w:rFonts w:hint="eastAsia" w:ascii="宋体" w:hAnsi="宋体" w:eastAsia="宋体" w:cs="宋体"/>
                <w:sz w:val="21"/>
                <w:szCs w:val="21"/>
                <w:lang w:val="ru-RU" w:eastAsia="zh-CN" w:bidi="ar-SA"/>
              </w:rPr>
              <w:t>企业依照《</w:t>
            </w:r>
            <w:r>
              <w:rPr>
                <w:rFonts w:hint="eastAsia" w:ascii="宋体" w:hAnsi="宋体" w:eastAsia="宋体" w:cs="宋体"/>
                <w:sz w:val="21"/>
                <w:szCs w:val="21"/>
                <w:lang w:val="en-US" w:eastAsia="zh-CN" w:bidi="ar-SA"/>
              </w:rPr>
              <w:t>中华人民共和国劳动合同法</w:t>
            </w:r>
            <w:r>
              <w:rPr>
                <w:rFonts w:hint="eastAsia" w:ascii="宋体" w:hAnsi="宋体" w:eastAsia="宋体" w:cs="宋体"/>
                <w:sz w:val="21"/>
                <w:szCs w:val="21"/>
                <w:lang w:val="ru-RU" w:eastAsia="zh-CN" w:bidi="ar-SA"/>
              </w:rPr>
              <w:t>》订立劳动合同的从业人员。本项目给予小微企业</w:t>
            </w:r>
            <w:r>
              <w:rPr>
                <w:rFonts w:hint="eastAsia" w:ascii="宋体" w:hAnsi="宋体" w:eastAsia="宋体" w:cs="宋体"/>
                <w:sz w:val="21"/>
                <w:szCs w:val="21"/>
                <w:u w:val="single"/>
                <w:lang w:val="en-US" w:eastAsia="zh-CN" w:bidi="ar-SA"/>
              </w:rPr>
              <w:t xml:space="preserve"> / </w:t>
            </w:r>
            <w:r>
              <w:rPr>
                <w:rFonts w:hint="eastAsia" w:ascii="宋体" w:hAnsi="宋体" w:eastAsia="宋体" w:cs="宋体"/>
                <w:sz w:val="21"/>
                <w:szCs w:val="21"/>
                <w:lang w:val="ru-RU" w:eastAsia="zh-CN" w:bidi="ar-SA"/>
              </w:rPr>
              <w:t>%的扣除。</w:t>
            </w:r>
          </w:p>
          <w:p w14:paraId="493A6AAF">
            <w:pPr>
              <w:widowControl w:val="0"/>
              <w:wordWrap w:val="0"/>
              <w:topLinePunct/>
              <w:adjustRightInd w:val="0"/>
              <w:spacing w:before="0" w:after="0" w:line="360" w:lineRule="auto"/>
              <w:jc w:val="both"/>
              <w:rPr>
                <w:rFonts w:hint="eastAsia" w:ascii="宋体" w:hAnsi="宋体" w:eastAsia="宋体" w:cs="宋体"/>
                <w:sz w:val="21"/>
                <w:szCs w:val="21"/>
                <w:lang w:val="ru-RU" w:eastAsia="zh-CN" w:bidi="ar-SA"/>
              </w:rPr>
            </w:pPr>
            <w:r>
              <w:rPr>
                <w:rFonts w:hint="eastAsia" w:ascii="宋体" w:hAnsi="宋体" w:eastAsia="宋体" w:cs="宋体"/>
                <w:sz w:val="21"/>
                <w:szCs w:val="21"/>
                <w:lang w:val="ru-RU" w:eastAsia="zh-CN" w:bidi="ar-SA"/>
              </w:rPr>
              <w:t>（</w:t>
            </w:r>
            <w:r>
              <w:rPr>
                <w:rFonts w:hint="eastAsia" w:ascii="宋体" w:hAnsi="宋体" w:eastAsia="宋体" w:cs="宋体"/>
                <w:b/>
                <w:bCs/>
                <w:sz w:val="21"/>
                <w:szCs w:val="21"/>
                <w:lang w:val="en-US" w:eastAsia="zh-CN" w:bidi="ar-SA"/>
              </w:rPr>
              <w:t>投标人提供的货物既有中小企业制造货物，也有大型企业制造货物的，不享受中小企业扶持政策。根据财政部发布的《政府采购促进中小企业发展政策问答》（http：//gks.mof.gov.cn/guizhangzhidu/202102/t20210220_3659586.htm）：在货物采购项目中，供应商提供的货物既有中型企业制造，也有小微企业制造的，不享受办法规定的小微企业扶持政策。）</w:t>
            </w:r>
          </w:p>
          <w:p w14:paraId="611B9B68">
            <w:pPr>
              <w:widowControl w:val="0"/>
              <w:adjustRightInd w:val="0"/>
              <w:spacing w:before="0" w:after="0" w:line="360" w:lineRule="auto"/>
              <w:jc w:val="both"/>
              <w:rPr>
                <w:rFonts w:hint="eastAsia" w:ascii="宋体" w:hAnsi="宋体" w:eastAsia="宋体" w:cs="宋体"/>
                <w:sz w:val="21"/>
                <w:szCs w:val="21"/>
                <w:lang w:val="ru-RU" w:eastAsia="zh-CN" w:bidi="ar-SA"/>
              </w:rPr>
            </w:pPr>
            <w:r>
              <w:rPr>
                <w:rFonts w:hint="eastAsia" w:ascii="宋体" w:hAnsi="宋体" w:eastAsia="宋体" w:cs="宋体"/>
                <w:sz w:val="21"/>
                <w:szCs w:val="21"/>
                <w:lang w:val="ru-RU" w:eastAsia="zh-CN" w:bidi="ar-SA"/>
              </w:rPr>
              <w:t>②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2%-3%（工程项目为1%—2%）的扣除，用扣除后的价格参加评审。具体扣除比例如下：</w:t>
            </w:r>
          </w:p>
          <w:p w14:paraId="7B25CAD5">
            <w:pPr>
              <w:widowControl w:val="0"/>
              <w:adjustRightInd w:val="0"/>
              <w:spacing w:before="0" w:after="0" w:line="360" w:lineRule="auto"/>
              <w:jc w:val="left"/>
              <w:rPr>
                <w:rFonts w:hint="eastAsia" w:ascii="宋体" w:hAnsi="宋体" w:eastAsia="宋体" w:cs="宋体"/>
                <w:sz w:val="21"/>
                <w:szCs w:val="21"/>
                <w:lang w:val="ru-RU" w:eastAsia="zh-CN" w:bidi="ar-SA"/>
              </w:rPr>
            </w:pPr>
            <w:r>
              <w:rPr>
                <w:rFonts w:hint="eastAsia" w:ascii="宋体" w:hAnsi="宋体" w:eastAsia="宋体" w:cs="宋体"/>
                <w:sz w:val="21"/>
                <w:szCs w:val="21"/>
                <w:lang w:val="ru-RU" w:eastAsia="zh-CN" w:bidi="ar-SA"/>
              </w:rPr>
              <w:t>□货物采购：本项目扣除比例为</w:t>
            </w:r>
            <w:r>
              <w:rPr>
                <w:rFonts w:hint="eastAsia" w:ascii="宋体" w:hAnsi="宋体" w:eastAsia="宋体" w:cs="宋体"/>
                <w:sz w:val="21"/>
                <w:szCs w:val="21"/>
                <w:u w:val="single"/>
                <w:lang w:val="en-US" w:eastAsia="zh-CN" w:bidi="ar-SA"/>
              </w:rPr>
              <w:t xml:space="preserve"> / </w:t>
            </w:r>
            <w:r>
              <w:rPr>
                <w:rFonts w:hint="eastAsia" w:ascii="宋体" w:hAnsi="宋体" w:eastAsia="宋体" w:cs="宋体"/>
                <w:sz w:val="21"/>
                <w:szCs w:val="21"/>
                <w:lang w:val="ru-RU" w:eastAsia="zh-CN" w:bidi="ar-SA"/>
              </w:rPr>
              <w:t>%。</w:t>
            </w:r>
          </w:p>
          <w:p w14:paraId="73E3365A">
            <w:pPr>
              <w:widowControl w:val="0"/>
              <w:adjustRightInd w:val="0"/>
              <w:spacing w:before="0" w:after="0" w:line="360" w:lineRule="auto"/>
              <w:jc w:val="left"/>
              <w:rPr>
                <w:rFonts w:hint="eastAsia" w:ascii="宋体" w:hAnsi="宋体" w:eastAsia="宋体" w:cs="宋体"/>
                <w:sz w:val="21"/>
                <w:szCs w:val="21"/>
                <w:lang w:val="ru-RU" w:eastAsia="zh-CN" w:bidi="ar-SA"/>
              </w:rPr>
            </w:pPr>
            <w:r>
              <w:rPr>
                <w:rFonts w:hint="eastAsia" w:ascii="宋体" w:hAnsi="宋体" w:eastAsia="宋体" w:cs="宋体"/>
                <w:sz w:val="21"/>
                <w:szCs w:val="21"/>
                <w:lang w:val="ru-RU" w:eastAsia="zh-CN" w:bidi="ar-SA"/>
              </w:rPr>
              <w:t>□工程采购：本项目扣除比例为</w:t>
            </w:r>
            <w:r>
              <w:rPr>
                <w:rFonts w:hint="eastAsia" w:ascii="宋体" w:hAnsi="宋体" w:eastAsia="宋体" w:cs="宋体"/>
                <w:sz w:val="21"/>
                <w:szCs w:val="21"/>
                <w:u w:val="single"/>
                <w:lang w:val="en-US" w:eastAsia="zh-CN" w:bidi="ar-SA"/>
              </w:rPr>
              <w:t xml:space="preserve"> / </w:t>
            </w:r>
            <w:r>
              <w:rPr>
                <w:rFonts w:hint="eastAsia" w:ascii="宋体" w:hAnsi="宋体" w:eastAsia="宋体" w:cs="宋体"/>
                <w:sz w:val="21"/>
                <w:szCs w:val="21"/>
                <w:lang w:val="ru-RU" w:eastAsia="zh-CN" w:bidi="ar-SA"/>
              </w:rPr>
              <w:t>%。</w:t>
            </w:r>
          </w:p>
          <w:p w14:paraId="6EA906F7">
            <w:pPr>
              <w:widowControl w:val="0"/>
              <w:adjustRightInd w:val="0"/>
              <w:spacing w:before="0" w:after="0" w:line="360" w:lineRule="auto"/>
              <w:jc w:val="left"/>
              <w:rPr>
                <w:rFonts w:hint="eastAsia" w:ascii="宋体" w:hAnsi="宋体" w:eastAsia="宋体" w:cs="宋体"/>
                <w:sz w:val="21"/>
                <w:szCs w:val="21"/>
                <w:lang w:val="ru-RU" w:eastAsia="zh-CN" w:bidi="ar-SA"/>
              </w:rPr>
            </w:pPr>
            <w:r>
              <w:rPr>
                <w:rFonts w:hint="eastAsia" w:ascii="宋体" w:hAnsi="宋体" w:eastAsia="宋体" w:cs="宋体"/>
                <w:sz w:val="21"/>
                <w:szCs w:val="21"/>
                <w:lang w:val="ru-RU" w:eastAsia="zh-CN" w:bidi="ar-SA"/>
              </w:rPr>
              <w:t>□服务采购：本项目扣除比例为</w:t>
            </w:r>
            <w:r>
              <w:rPr>
                <w:rFonts w:hint="eastAsia" w:ascii="宋体" w:hAnsi="宋体" w:eastAsia="宋体" w:cs="宋体"/>
                <w:sz w:val="21"/>
                <w:szCs w:val="21"/>
                <w:u w:val="single"/>
                <w:lang w:val="en-US" w:eastAsia="zh-CN" w:bidi="ar-SA"/>
              </w:rPr>
              <w:t xml:space="preserve"> / </w:t>
            </w:r>
            <w:r>
              <w:rPr>
                <w:rFonts w:hint="eastAsia" w:ascii="宋体" w:hAnsi="宋体" w:eastAsia="宋体" w:cs="宋体"/>
                <w:sz w:val="21"/>
                <w:szCs w:val="21"/>
                <w:lang w:val="ru-RU" w:eastAsia="zh-CN" w:bidi="ar-SA"/>
              </w:rPr>
              <w:t>%。</w:t>
            </w:r>
          </w:p>
          <w:p w14:paraId="657D1DB3">
            <w:pPr>
              <w:widowControl w:val="0"/>
              <w:adjustRightInd w:val="0"/>
              <w:spacing w:before="0" w:after="0" w:line="360" w:lineRule="auto"/>
              <w:jc w:val="left"/>
              <w:rPr>
                <w:rFonts w:hint="eastAsia" w:ascii="宋体" w:hAnsi="宋体" w:eastAsia="宋体" w:cs="宋体"/>
                <w:sz w:val="21"/>
                <w:szCs w:val="21"/>
                <w:lang w:val="ru-RU" w:eastAsia="zh-CN" w:bidi="ar-SA"/>
              </w:rPr>
            </w:pPr>
            <w:r>
              <w:rPr>
                <w:rFonts w:hint="eastAsia" w:ascii="宋体" w:hAnsi="宋体" w:eastAsia="宋体" w:cs="宋体"/>
                <w:sz w:val="21"/>
                <w:szCs w:val="21"/>
                <w:lang w:val="ru-RU" w:eastAsia="zh-CN" w:bidi="ar-SA"/>
              </w:rPr>
              <w:t>（以联合体形式参加政府采购活动，联合体各方均为小微企业的，联合体视同</w:t>
            </w:r>
            <w:r>
              <w:rPr>
                <w:rFonts w:hint="eastAsia" w:ascii="宋体" w:hAnsi="宋体" w:eastAsia="宋体" w:cs="宋体"/>
                <w:sz w:val="21"/>
                <w:szCs w:val="21"/>
                <w:lang w:val="en-US" w:eastAsia="zh-CN" w:bidi="ar-SA"/>
              </w:rPr>
              <w:t>为</w:t>
            </w:r>
            <w:r>
              <w:rPr>
                <w:rFonts w:hint="eastAsia" w:ascii="宋体" w:hAnsi="宋体" w:eastAsia="宋体" w:cs="宋体"/>
                <w:sz w:val="21"/>
                <w:szCs w:val="21"/>
                <w:lang w:val="ru-RU" w:eastAsia="zh-CN" w:bidi="ar-SA"/>
              </w:rPr>
              <w:t>小微企业。）</w:t>
            </w:r>
          </w:p>
          <w:p w14:paraId="0BE9527E">
            <w:pPr>
              <w:widowControl w:val="0"/>
              <w:adjustRightInd w:val="0"/>
              <w:spacing w:before="0" w:after="0" w:line="360" w:lineRule="auto"/>
              <w:jc w:val="both"/>
              <w:rPr>
                <w:rFonts w:hint="eastAsia" w:ascii="宋体" w:hAnsi="宋体" w:eastAsia="宋体" w:cs="宋体"/>
                <w:b/>
                <w:bCs/>
                <w:sz w:val="21"/>
                <w:szCs w:val="21"/>
                <w:lang w:val="ru-RU" w:eastAsia="zh-CN" w:bidi="ar-SA"/>
              </w:rPr>
            </w:pPr>
            <w:r>
              <w:rPr>
                <w:rFonts w:hint="eastAsia" w:ascii="宋体" w:hAnsi="宋体" w:eastAsia="宋体" w:cs="宋体"/>
                <w:sz w:val="21"/>
                <w:szCs w:val="21"/>
                <w:lang w:val="ru-RU" w:eastAsia="zh-CN" w:bidi="ar-SA"/>
              </w:rPr>
              <w:t>③监狱企业、残疾人福利性单位视同小微企业，享受评审中价格扣除等促进中小企业发展的政府采购政策。用扣除后的价格参与评审，</w:t>
            </w:r>
            <w:r>
              <w:rPr>
                <w:rFonts w:hint="eastAsia" w:ascii="宋体" w:hAnsi="宋体" w:eastAsia="宋体" w:cs="宋体"/>
                <w:b/>
                <w:bCs/>
                <w:sz w:val="21"/>
                <w:szCs w:val="21"/>
                <w:lang w:val="ru-RU" w:eastAsia="zh-CN" w:bidi="ar-SA"/>
              </w:rPr>
              <w:t>本项目具体扣除比例为</w:t>
            </w:r>
            <w:r>
              <w:rPr>
                <w:rFonts w:hint="eastAsia" w:ascii="宋体" w:hAnsi="宋体" w:eastAsia="宋体" w:cs="宋体"/>
                <w:b/>
                <w:bCs/>
                <w:sz w:val="21"/>
                <w:szCs w:val="21"/>
                <w:u w:val="single"/>
                <w:lang w:val="en-US" w:eastAsia="zh-CN" w:bidi="ar-SA"/>
              </w:rPr>
              <w:t xml:space="preserve"> 10 </w:t>
            </w:r>
            <w:r>
              <w:rPr>
                <w:rFonts w:hint="eastAsia" w:ascii="宋体" w:hAnsi="宋体" w:eastAsia="宋体" w:cs="宋体"/>
                <w:b/>
                <w:bCs/>
                <w:sz w:val="21"/>
                <w:szCs w:val="21"/>
                <w:lang w:val="ru-RU" w:eastAsia="zh-CN" w:bidi="ar-SA"/>
              </w:rPr>
              <w:t>%。</w:t>
            </w:r>
          </w:p>
          <w:p w14:paraId="110E65EC">
            <w:pPr>
              <w:spacing w:line="360" w:lineRule="auto"/>
              <w:rPr>
                <w:rFonts w:hint="eastAsia" w:ascii="宋体" w:hAnsi="宋体" w:eastAsia="宋体" w:cs="宋体"/>
                <w:szCs w:val="21"/>
              </w:rPr>
            </w:pPr>
            <w:r>
              <w:rPr>
                <w:rFonts w:hint="eastAsia" w:ascii="宋体" w:hAnsi="宋体" w:eastAsia="宋体" w:cs="宋体"/>
                <w:szCs w:val="21"/>
              </w:rPr>
              <w:t>（监狱企业、残疾人福利性单位同时属于小微企业的，不重复享受价格评审优惠政策）</w:t>
            </w:r>
          </w:p>
        </w:tc>
      </w:tr>
      <w:tr w14:paraId="3EF42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1" w:type="dxa"/>
            <w:vMerge w:val="restart"/>
            <w:tcBorders>
              <w:tl2br w:val="nil"/>
              <w:tr2bl w:val="nil"/>
            </w:tcBorders>
            <w:vAlign w:val="center"/>
          </w:tcPr>
          <w:p w14:paraId="7DAA6664">
            <w:pPr>
              <w:adjustRightInd w:val="0"/>
              <w:snapToGrid w:val="0"/>
              <w:spacing w:before="161" w:beforeLines="50" w:line="360" w:lineRule="auto"/>
              <w:jc w:val="center"/>
              <w:rPr>
                <w:rFonts w:hint="eastAsia" w:ascii="宋体" w:hAnsi="宋体" w:eastAsia="宋体" w:cs="宋体"/>
                <w:szCs w:val="21"/>
              </w:rPr>
            </w:pPr>
            <w:r>
              <w:rPr>
                <w:rFonts w:hint="eastAsia" w:ascii="宋体" w:hAnsi="宋体" w:eastAsia="宋体" w:cs="宋体"/>
                <w:szCs w:val="21"/>
              </w:rPr>
              <w:t>第5.4（2）</w:t>
            </w:r>
            <w:r>
              <w:rPr>
                <w:rFonts w:hint="eastAsia" w:ascii="宋体" w:hAnsi="宋体" w:eastAsia="宋体" w:cs="宋体"/>
                <w:kern w:val="0"/>
                <w:szCs w:val="21"/>
                <w:lang w:val="zh-CN"/>
              </w:rPr>
              <w:t>项</w:t>
            </w:r>
          </w:p>
        </w:tc>
        <w:tc>
          <w:tcPr>
            <w:tcW w:w="2268" w:type="dxa"/>
            <w:vMerge w:val="restart"/>
            <w:tcBorders>
              <w:tl2br w:val="nil"/>
              <w:tr2bl w:val="nil"/>
            </w:tcBorders>
            <w:vAlign w:val="center"/>
          </w:tcPr>
          <w:p w14:paraId="0D26FA0D">
            <w:pPr>
              <w:adjustRightInd w:val="0"/>
              <w:snapToGrid w:val="0"/>
              <w:spacing w:before="161" w:beforeLines="50" w:line="360" w:lineRule="auto"/>
              <w:jc w:val="center"/>
              <w:rPr>
                <w:rFonts w:hint="eastAsia" w:ascii="宋体" w:hAnsi="宋体" w:eastAsia="宋体" w:cs="宋体"/>
                <w:szCs w:val="21"/>
              </w:rPr>
            </w:pPr>
            <w:r>
              <w:rPr>
                <w:rFonts w:hint="eastAsia" w:ascii="宋体" w:hAnsi="宋体" w:eastAsia="宋体" w:cs="宋体"/>
                <w:szCs w:val="21"/>
              </w:rPr>
              <w:t>优先采购</w:t>
            </w:r>
          </w:p>
        </w:tc>
        <w:tc>
          <w:tcPr>
            <w:tcW w:w="5007" w:type="dxa"/>
            <w:tcBorders>
              <w:tl2br w:val="nil"/>
              <w:tr2bl w:val="nil"/>
            </w:tcBorders>
          </w:tcPr>
          <w:p w14:paraId="2B53719B">
            <w:pPr>
              <w:spacing w:line="360" w:lineRule="auto"/>
              <w:rPr>
                <w:rFonts w:hint="eastAsia" w:ascii="宋体" w:hAnsi="宋体" w:eastAsia="宋体" w:cs="宋体"/>
              </w:rPr>
            </w:pPr>
            <w:r>
              <w:rPr>
                <w:rFonts w:hint="eastAsia" w:ascii="宋体" w:hAnsi="宋体" w:eastAsia="宋体" w:cs="宋体"/>
              </w:rPr>
              <w:t>最低评标价法：</w:t>
            </w:r>
          </w:p>
          <w:p w14:paraId="3B3A1995">
            <w:pPr>
              <w:spacing w:line="360" w:lineRule="auto"/>
              <w:rPr>
                <w:rFonts w:hint="eastAsia" w:ascii="宋体" w:hAnsi="宋体" w:eastAsia="宋体" w:cs="宋体"/>
                <w:szCs w:val="21"/>
              </w:rPr>
            </w:pPr>
            <w:r>
              <w:rPr>
                <w:rFonts w:hint="eastAsia" w:ascii="宋体" w:hAnsi="宋体" w:eastAsia="宋体" w:cs="宋体"/>
              </w:rPr>
              <w:t>符合节能产品、环境标志产品优先采购政策的，对于投标报价，应给予 5%-10%的价格扣除，本项目具体扣除比例为</w:t>
            </w:r>
            <w:r>
              <w:rPr>
                <w:rFonts w:hint="eastAsia" w:ascii="宋体" w:hAnsi="宋体" w:eastAsia="宋体" w:cs="宋体"/>
                <w:u w:val="single"/>
              </w:rPr>
              <w:t xml:space="preserve"> / </w:t>
            </w:r>
            <w:r>
              <w:rPr>
                <w:rFonts w:hint="eastAsia" w:ascii="宋体" w:hAnsi="宋体" w:eastAsia="宋体" w:cs="宋体"/>
              </w:rPr>
              <w:t>%。</w:t>
            </w:r>
          </w:p>
        </w:tc>
      </w:tr>
      <w:tr w14:paraId="31C066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1" w:type="dxa"/>
            <w:vMerge w:val="continue"/>
            <w:tcBorders>
              <w:tl2br w:val="nil"/>
              <w:tr2bl w:val="nil"/>
            </w:tcBorders>
            <w:vAlign w:val="center"/>
          </w:tcPr>
          <w:p w14:paraId="3883DAC1">
            <w:pPr>
              <w:adjustRightInd w:val="0"/>
              <w:snapToGrid w:val="0"/>
              <w:spacing w:before="161" w:beforeLines="50" w:line="360" w:lineRule="auto"/>
              <w:jc w:val="center"/>
              <w:rPr>
                <w:rFonts w:hint="eastAsia" w:ascii="宋体" w:hAnsi="宋体" w:eastAsia="宋体" w:cs="宋体"/>
                <w:szCs w:val="21"/>
              </w:rPr>
            </w:pPr>
          </w:p>
        </w:tc>
        <w:tc>
          <w:tcPr>
            <w:tcW w:w="2268" w:type="dxa"/>
            <w:vMerge w:val="continue"/>
            <w:tcBorders>
              <w:tl2br w:val="nil"/>
              <w:tr2bl w:val="nil"/>
            </w:tcBorders>
            <w:vAlign w:val="center"/>
          </w:tcPr>
          <w:p w14:paraId="356BECDD">
            <w:pPr>
              <w:adjustRightInd w:val="0"/>
              <w:snapToGrid w:val="0"/>
              <w:spacing w:before="161" w:beforeLines="50" w:line="360" w:lineRule="auto"/>
              <w:jc w:val="center"/>
              <w:rPr>
                <w:rFonts w:hint="eastAsia" w:ascii="宋体" w:hAnsi="宋体" w:eastAsia="宋体" w:cs="宋体"/>
                <w:szCs w:val="21"/>
              </w:rPr>
            </w:pPr>
          </w:p>
        </w:tc>
        <w:tc>
          <w:tcPr>
            <w:tcW w:w="5007" w:type="dxa"/>
            <w:tcBorders>
              <w:tl2br w:val="nil"/>
              <w:tr2bl w:val="nil"/>
            </w:tcBorders>
          </w:tcPr>
          <w:p w14:paraId="086AB075">
            <w:pPr>
              <w:spacing w:line="360" w:lineRule="auto"/>
              <w:rPr>
                <w:rFonts w:hint="eastAsia" w:ascii="宋体" w:hAnsi="宋体" w:eastAsia="宋体" w:cs="宋体"/>
              </w:rPr>
            </w:pPr>
            <w:r>
              <w:rPr>
                <w:rFonts w:hint="eastAsia" w:ascii="宋体" w:hAnsi="宋体" w:eastAsia="宋体" w:cs="宋体"/>
              </w:rPr>
              <w:t>综合评分法：</w:t>
            </w:r>
          </w:p>
          <w:p w14:paraId="000027A3">
            <w:pPr>
              <w:spacing w:line="360" w:lineRule="auto"/>
              <w:rPr>
                <w:rFonts w:hint="eastAsia" w:ascii="宋体" w:hAnsi="宋体" w:eastAsia="宋体" w:cs="宋体"/>
              </w:rPr>
            </w:pPr>
            <w:r>
              <w:rPr>
                <w:rFonts w:hint="eastAsia" w:ascii="宋体" w:hAnsi="宋体" w:eastAsia="宋体" w:cs="宋体"/>
              </w:rPr>
              <w:t>A、投标产品为《节能产品政府采购品目清单》非“</w:t>
            </w:r>
            <w:r>
              <w:rPr>
                <w:rFonts w:hint="eastAsia" w:ascii="仿宋" w:hAnsi="仿宋" w:eastAsia="仿宋" w:cs="仿宋"/>
                <w:szCs w:val="21"/>
              </w:rPr>
              <w:sym w:font="Wingdings" w:char="00AB"/>
            </w:r>
            <w:r>
              <w:rPr>
                <w:rFonts w:hint="eastAsia" w:ascii="宋体" w:hAnsi="宋体" w:eastAsia="宋体" w:cs="宋体"/>
              </w:rPr>
              <w:t>”产品、《环境标志产品政府采购品目清单》产品的，对于价格和技术分，应分别给予总分值4%-8%的加分。投标人必需提供有效的节能或环境标志产品认证证书复印件，未按以上要求提供认证证书复印件或不是有效清单内的产品，评审时不予优先采购。</w:t>
            </w:r>
          </w:p>
          <w:p w14:paraId="20FD555C">
            <w:pPr>
              <w:spacing w:line="360" w:lineRule="auto"/>
              <w:rPr>
                <w:rFonts w:hint="eastAsia" w:ascii="宋体" w:hAnsi="宋体" w:eastAsia="宋体" w:cs="宋体"/>
              </w:rPr>
            </w:pPr>
            <w:r>
              <w:rPr>
                <w:rFonts w:hint="eastAsia" w:ascii="宋体" w:hAnsi="宋体" w:eastAsia="宋体" w:cs="宋体"/>
                <w:b/>
                <w:bCs/>
              </w:rPr>
              <w:t>本项目具体加分比例分别为：价格总分值</w:t>
            </w:r>
            <w:r>
              <w:rPr>
                <w:rFonts w:hint="eastAsia" w:ascii="宋体" w:hAnsi="宋体" w:eastAsia="宋体" w:cs="宋体"/>
                <w:b/>
                <w:bCs/>
                <w:u w:val="single"/>
              </w:rPr>
              <w:t xml:space="preserve"> 4 </w:t>
            </w:r>
            <w:r>
              <w:rPr>
                <w:rFonts w:hint="eastAsia" w:ascii="宋体" w:hAnsi="宋体" w:eastAsia="宋体" w:cs="宋体"/>
                <w:b/>
                <w:bCs/>
              </w:rPr>
              <w:t>%的加分、技术总分值</w:t>
            </w:r>
            <w:r>
              <w:rPr>
                <w:rFonts w:hint="eastAsia" w:ascii="宋体" w:hAnsi="宋体" w:eastAsia="宋体" w:cs="宋体"/>
                <w:b/>
                <w:bCs/>
                <w:u w:val="single"/>
              </w:rPr>
              <w:t xml:space="preserve"> 4 </w:t>
            </w:r>
            <w:r>
              <w:rPr>
                <w:rFonts w:hint="eastAsia" w:ascii="宋体" w:hAnsi="宋体" w:eastAsia="宋体" w:cs="宋体"/>
                <w:b/>
                <w:bCs/>
              </w:rPr>
              <w:t>%的加分。</w:t>
            </w:r>
          </w:p>
        </w:tc>
      </w:tr>
      <w:tr w14:paraId="50BE08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1" w:type="dxa"/>
            <w:vMerge w:val="continue"/>
            <w:tcBorders>
              <w:tl2br w:val="nil"/>
              <w:tr2bl w:val="nil"/>
            </w:tcBorders>
            <w:vAlign w:val="center"/>
          </w:tcPr>
          <w:p w14:paraId="3D211188">
            <w:pPr>
              <w:adjustRightInd w:val="0"/>
              <w:snapToGrid w:val="0"/>
              <w:spacing w:before="161" w:beforeLines="50" w:line="360" w:lineRule="auto"/>
              <w:jc w:val="center"/>
              <w:rPr>
                <w:rFonts w:hint="eastAsia" w:ascii="宋体" w:hAnsi="宋体" w:eastAsia="宋体" w:cs="宋体"/>
                <w:szCs w:val="21"/>
              </w:rPr>
            </w:pPr>
          </w:p>
        </w:tc>
        <w:tc>
          <w:tcPr>
            <w:tcW w:w="2268" w:type="dxa"/>
            <w:vMerge w:val="continue"/>
            <w:tcBorders>
              <w:tl2br w:val="nil"/>
              <w:tr2bl w:val="nil"/>
            </w:tcBorders>
            <w:vAlign w:val="center"/>
          </w:tcPr>
          <w:p w14:paraId="38AA506B">
            <w:pPr>
              <w:adjustRightInd w:val="0"/>
              <w:snapToGrid w:val="0"/>
              <w:spacing w:before="161" w:beforeLines="50" w:line="360" w:lineRule="auto"/>
              <w:jc w:val="center"/>
              <w:rPr>
                <w:rFonts w:hint="eastAsia" w:ascii="宋体" w:hAnsi="宋体" w:eastAsia="宋体" w:cs="宋体"/>
                <w:szCs w:val="21"/>
              </w:rPr>
            </w:pPr>
          </w:p>
        </w:tc>
        <w:tc>
          <w:tcPr>
            <w:tcW w:w="5007" w:type="dxa"/>
            <w:tcBorders>
              <w:tl2br w:val="nil"/>
              <w:tr2bl w:val="nil"/>
            </w:tcBorders>
          </w:tcPr>
          <w:p w14:paraId="78DBF3AE">
            <w:pPr>
              <w:spacing w:line="360" w:lineRule="auto"/>
              <w:rPr>
                <w:rFonts w:hint="eastAsia" w:ascii="宋体" w:hAnsi="宋体" w:eastAsia="宋体" w:cs="宋体"/>
              </w:rPr>
            </w:pPr>
            <w:r>
              <w:rPr>
                <w:rFonts w:hint="eastAsia" w:ascii="宋体" w:hAnsi="宋体" w:eastAsia="宋体" w:cs="宋体"/>
              </w:rPr>
              <w:t>备注：</w:t>
            </w:r>
          </w:p>
          <w:p w14:paraId="2920601C">
            <w:pPr>
              <w:spacing w:line="360" w:lineRule="auto"/>
              <w:rPr>
                <w:rFonts w:hint="eastAsia" w:ascii="宋体" w:hAnsi="宋体" w:eastAsia="宋体" w:cs="宋体"/>
              </w:rPr>
            </w:pPr>
            <w:r>
              <w:rPr>
                <w:rFonts w:hint="eastAsia" w:ascii="宋体" w:hAnsi="宋体" w:eastAsia="宋体" w:cs="宋体"/>
              </w:rPr>
              <w:t>（1）优先采购同时属于“节能产品”、“环境标志产品”的，评审时只有其中一项产品能享受优先采购优惠（投标人自行选择，并在投标文件中填报相关信息及数据）。</w:t>
            </w:r>
          </w:p>
          <w:p w14:paraId="5A13DC6D">
            <w:pPr>
              <w:spacing w:line="360" w:lineRule="auto"/>
              <w:rPr>
                <w:rFonts w:hint="eastAsia" w:ascii="宋体" w:hAnsi="宋体" w:eastAsia="宋体" w:cs="宋体"/>
              </w:rPr>
            </w:pPr>
            <w:r>
              <w:rPr>
                <w:rFonts w:hint="eastAsia" w:ascii="宋体" w:hAnsi="宋体" w:eastAsia="宋体" w:cs="宋体"/>
              </w:rPr>
              <w:t>（2）小型和微型企业的价格评审优惠可以与同时属于“节能产品”、“环境标志产品”中的一项优先采购优惠累加计算。</w:t>
            </w:r>
          </w:p>
          <w:p w14:paraId="46FC1BA9">
            <w:pPr>
              <w:spacing w:line="360" w:lineRule="auto"/>
              <w:rPr>
                <w:rFonts w:hint="eastAsia" w:ascii="宋体" w:hAnsi="宋体" w:eastAsia="宋体" w:cs="宋体"/>
              </w:rPr>
            </w:pPr>
            <w:r>
              <w:rPr>
                <w:rFonts w:hint="eastAsia" w:ascii="宋体" w:hAnsi="宋体" w:eastAsia="宋体" w:cs="宋体"/>
              </w:rPr>
              <w:t>（3）投标人符合第二章第33.1款、第33.2款、第33.3款规定的，应按第二章第33.6款规定提供相关证明资料。</w:t>
            </w:r>
          </w:p>
        </w:tc>
      </w:tr>
      <w:tr w14:paraId="283A64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1" w:type="dxa"/>
            <w:tcBorders>
              <w:tl2br w:val="nil"/>
              <w:tr2bl w:val="nil"/>
            </w:tcBorders>
            <w:vAlign w:val="center"/>
          </w:tcPr>
          <w:p w14:paraId="256B057C">
            <w:pPr>
              <w:adjustRightInd w:val="0"/>
              <w:snapToGrid w:val="0"/>
              <w:spacing w:before="161" w:beforeLines="50" w:line="360" w:lineRule="auto"/>
              <w:jc w:val="center"/>
              <w:rPr>
                <w:rFonts w:hint="eastAsia" w:ascii="宋体" w:hAnsi="宋体" w:eastAsia="宋体" w:cs="宋体"/>
                <w:szCs w:val="21"/>
              </w:rPr>
            </w:pPr>
            <w:r>
              <w:rPr>
                <w:rFonts w:hint="eastAsia" w:ascii="宋体" w:hAnsi="宋体" w:eastAsia="宋体" w:cs="宋体"/>
                <w:szCs w:val="21"/>
              </w:rPr>
              <w:t>第6.1</w:t>
            </w:r>
            <w:r>
              <w:rPr>
                <w:rFonts w:hint="eastAsia" w:ascii="宋体" w:hAnsi="宋体" w:eastAsia="宋体" w:cs="宋体"/>
                <w:kern w:val="0"/>
                <w:szCs w:val="21"/>
                <w:lang w:val="zh-CN"/>
              </w:rPr>
              <w:t>款</w:t>
            </w:r>
          </w:p>
        </w:tc>
        <w:tc>
          <w:tcPr>
            <w:tcW w:w="2268" w:type="dxa"/>
            <w:tcBorders>
              <w:tl2br w:val="nil"/>
              <w:tr2bl w:val="nil"/>
            </w:tcBorders>
            <w:vAlign w:val="center"/>
          </w:tcPr>
          <w:p w14:paraId="15BE3566">
            <w:pPr>
              <w:adjustRightInd w:val="0"/>
              <w:snapToGrid w:val="0"/>
              <w:spacing w:before="161" w:beforeLines="50" w:line="360" w:lineRule="auto"/>
              <w:jc w:val="center"/>
              <w:rPr>
                <w:rFonts w:hint="eastAsia" w:ascii="宋体" w:hAnsi="宋体" w:eastAsia="宋体" w:cs="宋体"/>
                <w:szCs w:val="21"/>
              </w:rPr>
            </w:pPr>
            <w:r>
              <w:rPr>
                <w:rFonts w:hint="eastAsia" w:ascii="宋体" w:hAnsi="宋体" w:eastAsia="宋体" w:cs="宋体"/>
                <w:szCs w:val="21"/>
              </w:rPr>
              <w:t>中标候选人并列的确定中标人的方式</w:t>
            </w:r>
          </w:p>
        </w:tc>
        <w:tc>
          <w:tcPr>
            <w:tcW w:w="5007" w:type="dxa"/>
            <w:tcBorders>
              <w:tl2br w:val="nil"/>
              <w:tr2bl w:val="nil"/>
            </w:tcBorders>
            <w:vAlign w:val="center"/>
          </w:tcPr>
          <w:p w14:paraId="3D134B3E">
            <w:pPr>
              <w:widowControl w:val="0"/>
              <w:spacing w:before="78" w:line="360" w:lineRule="auto"/>
              <w:ind w:right="87"/>
              <w:jc w:val="both"/>
              <w:rPr>
                <w:rFonts w:hint="eastAsia" w:ascii="宋体" w:hAnsi="宋体" w:eastAsia="宋体" w:cs="宋体"/>
                <w:kern w:val="2"/>
                <w:sz w:val="21"/>
                <w:szCs w:val="21"/>
                <w:lang w:val="en-US" w:eastAsia="zh-CN" w:bidi="zh-CN"/>
              </w:rPr>
            </w:pPr>
            <w:r>
              <w:rPr>
                <w:rFonts w:hint="eastAsia" w:ascii="宋体" w:hAnsi="宋体" w:eastAsia="宋体" w:cs="宋体"/>
                <w:kern w:val="2"/>
                <w:sz w:val="21"/>
                <w:szCs w:val="21"/>
                <w:lang w:val="en-US" w:eastAsia="zh-CN" w:bidi="zh-CN"/>
              </w:rPr>
              <w:t>/（最低评标价法）</w:t>
            </w:r>
          </w:p>
        </w:tc>
      </w:tr>
      <w:tr w14:paraId="24E59F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1" w:type="dxa"/>
            <w:tcBorders>
              <w:tl2br w:val="nil"/>
              <w:tr2bl w:val="nil"/>
            </w:tcBorders>
            <w:vAlign w:val="center"/>
          </w:tcPr>
          <w:p w14:paraId="632AF6A5">
            <w:pPr>
              <w:adjustRightInd w:val="0"/>
              <w:snapToGrid w:val="0"/>
              <w:spacing w:before="161" w:beforeLines="50" w:line="360" w:lineRule="auto"/>
              <w:jc w:val="center"/>
              <w:rPr>
                <w:rFonts w:hint="eastAsia" w:ascii="宋体" w:hAnsi="宋体" w:eastAsia="宋体" w:cs="宋体"/>
                <w:szCs w:val="21"/>
              </w:rPr>
            </w:pPr>
            <w:r>
              <w:rPr>
                <w:rFonts w:hint="eastAsia" w:ascii="宋体" w:hAnsi="宋体" w:eastAsia="宋体" w:cs="宋体"/>
                <w:szCs w:val="21"/>
              </w:rPr>
              <w:t>第6.2</w:t>
            </w:r>
            <w:r>
              <w:rPr>
                <w:rFonts w:hint="eastAsia" w:ascii="宋体" w:hAnsi="宋体" w:eastAsia="宋体" w:cs="宋体"/>
                <w:kern w:val="0"/>
                <w:szCs w:val="21"/>
                <w:lang w:val="zh-CN"/>
              </w:rPr>
              <w:t>款</w:t>
            </w:r>
          </w:p>
        </w:tc>
        <w:tc>
          <w:tcPr>
            <w:tcW w:w="2268" w:type="dxa"/>
            <w:tcBorders>
              <w:tl2br w:val="nil"/>
              <w:tr2bl w:val="nil"/>
            </w:tcBorders>
            <w:vAlign w:val="center"/>
          </w:tcPr>
          <w:p w14:paraId="0245045E">
            <w:pPr>
              <w:adjustRightInd w:val="0"/>
              <w:snapToGrid w:val="0"/>
              <w:spacing w:before="161" w:beforeLines="50" w:line="360" w:lineRule="auto"/>
              <w:jc w:val="center"/>
              <w:rPr>
                <w:rFonts w:hint="eastAsia" w:ascii="宋体" w:hAnsi="宋体" w:eastAsia="宋体" w:cs="宋体"/>
                <w:szCs w:val="21"/>
              </w:rPr>
            </w:pPr>
            <w:r>
              <w:rPr>
                <w:rFonts w:hint="eastAsia" w:ascii="宋体" w:hAnsi="宋体" w:eastAsia="宋体" w:cs="宋体"/>
                <w:szCs w:val="21"/>
              </w:rPr>
              <w:t>中标候选人并列的确定中标人的方式</w:t>
            </w:r>
          </w:p>
        </w:tc>
        <w:tc>
          <w:tcPr>
            <w:tcW w:w="5007" w:type="dxa"/>
            <w:tcBorders>
              <w:tl2br w:val="nil"/>
              <w:tr2bl w:val="nil"/>
            </w:tcBorders>
            <w:vAlign w:val="center"/>
          </w:tcPr>
          <w:p w14:paraId="2CC53742">
            <w:pPr>
              <w:widowControl w:val="0"/>
              <w:spacing w:before="78" w:line="360" w:lineRule="auto"/>
              <w:ind w:right="87"/>
              <w:jc w:val="both"/>
              <w:rPr>
                <w:rFonts w:hint="eastAsia" w:ascii="宋体" w:hAnsi="宋体" w:eastAsia="宋体" w:cs="宋体"/>
                <w:kern w:val="2"/>
                <w:sz w:val="21"/>
                <w:szCs w:val="21"/>
                <w:lang w:val="zh-CN" w:eastAsia="zh-CN" w:bidi="zh-CN"/>
              </w:rPr>
            </w:pPr>
            <w:r>
              <w:rPr>
                <w:rFonts w:hint="eastAsia" w:ascii="宋体" w:hAnsi="宋体" w:eastAsia="宋体" w:cs="宋体"/>
                <w:kern w:val="2"/>
                <w:sz w:val="21"/>
                <w:szCs w:val="21"/>
                <w:lang w:val="zh-CN" w:eastAsia="zh-CN" w:bidi="zh-CN"/>
              </w:rPr>
              <w:t>按技术总分从高至低确定排序，技术总分相同的由评标组长现场随机抽签确定排序。</w:t>
            </w:r>
            <w:r>
              <w:rPr>
                <w:rFonts w:hint="eastAsia" w:ascii="宋体" w:hAnsi="宋体" w:eastAsia="宋体" w:cs="宋体"/>
                <w:kern w:val="2"/>
                <w:sz w:val="21"/>
                <w:szCs w:val="21"/>
                <w:lang w:val="en-US" w:eastAsia="zh-CN" w:bidi="ar-SA"/>
              </w:rPr>
              <w:t>（综合评分法）。</w:t>
            </w:r>
          </w:p>
        </w:tc>
      </w:tr>
    </w:tbl>
    <w:p w14:paraId="182FFDCC">
      <w:pPr>
        <w:adjustRightInd w:val="0"/>
        <w:snapToGrid w:val="0"/>
        <w:spacing w:before="161" w:beforeLines="50" w:line="360" w:lineRule="auto"/>
        <w:ind w:firstLine="420" w:firstLineChars="200"/>
        <w:jc w:val="left"/>
        <w:rPr>
          <w:rFonts w:hint="eastAsia" w:ascii="宋体" w:hAnsi="宋体" w:eastAsia="宋体" w:cs="宋体"/>
          <w:b/>
          <w:sz w:val="28"/>
          <w:szCs w:val="28"/>
        </w:rPr>
      </w:pPr>
      <w:r>
        <w:rPr>
          <w:rFonts w:hint="eastAsia" w:ascii="宋体" w:hAnsi="宋体" w:eastAsia="宋体" w:cs="宋体"/>
        </w:rPr>
        <w:br w:type="page"/>
      </w:r>
    </w:p>
    <w:p w14:paraId="042846CA">
      <w:pPr>
        <w:keepNext w:val="0"/>
        <w:keepLines w:val="0"/>
        <w:widowControl w:val="0"/>
        <w:adjustRightInd w:val="0"/>
        <w:snapToGrid w:val="0"/>
        <w:spacing w:before="161" w:beforeLines="50" w:line="360" w:lineRule="auto"/>
        <w:jc w:val="center"/>
        <w:outlineLvl w:val="1"/>
        <w:rPr>
          <w:rFonts w:hint="eastAsia" w:ascii="宋体" w:hAnsi="宋体" w:eastAsia="宋体" w:cs="宋体"/>
          <w:b/>
          <w:bCs/>
          <w:kern w:val="2"/>
          <w:sz w:val="28"/>
          <w:szCs w:val="28"/>
          <w:lang w:val="en-US" w:eastAsia="zh-CN" w:bidi="ar-SA"/>
        </w:rPr>
      </w:pPr>
      <w:bookmarkStart w:id="70" w:name="_Toc3671"/>
      <w:r>
        <w:rPr>
          <w:rFonts w:hint="eastAsia" w:ascii="宋体" w:hAnsi="宋体" w:eastAsia="宋体" w:cs="宋体"/>
          <w:b/>
          <w:bCs/>
          <w:kern w:val="2"/>
          <w:sz w:val="28"/>
          <w:szCs w:val="28"/>
          <w:lang w:val="en-US" w:eastAsia="zh-CN" w:bidi="ar-SA"/>
        </w:rPr>
        <w:t>第二节 评标方法及标准</w:t>
      </w:r>
      <w:bookmarkEnd w:id="70"/>
    </w:p>
    <w:p w14:paraId="18307865">
      <w:pPr>
        <w:keepNext w:val="0"/>
        <w:keepLines w:val="0"/>
        <w:widowControl w:val="0"/>
        <w:adjustRightInd w:val="0"/>
        <w:snapToGrid w:val="0"/>
        <w:spacing w:before="161" w:beforeLines="50" w:after="0" w:line="360" w:lineRule="auto"/>
        <w:jc w:val="both"/>
        <w:outlineLvl w:val="2"/>
        <w:rPr>
          <w:rFonts w:hint="eastAsia" w:ascii="宋体" w:hAnsi="宋体" w:eastAsia="宋体" w:cs="宋体"/>
          <w:b/>
          <w:bCs/>
          <w:kern w:val="2"/>
          <w:sz w:val="24"/>
          <w:szCs w:val="24"/>
          <w:lang w:val="en-US" w:eastAsia="zh-CN" w:bidi="ar-SA"/>
        </w:rPr>
      </w:pPr>
      <w:bookmarkStart w:id="71" w:name="_Toc26971"/>
      <w:r>
        <w:rPr>
          <w:rFonts w:hint="eastAsia" w:ascii="宋体" w:hAnsi="宋体" w:eastAsia="宋体" w:cs="宋体"/>
          <w:b/>
          <w:bCs/>
          <w:kern w:val="2"/>
          <w:sz w:val="24"/>
          <w:szCs w:val="24"/>
          <w:lang w:val="en-US" w:eastAsia="zh-CN" w:bidi="ar-SA"/>
        </w:rPr>
        <w:t>1．评标方法</w:t>
      </w:r>
      <w:bookmarkEnd w:id="71"/>
    </w:p>
    <w:p w14:paraId="16877956">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1.1综合评分法，指投标文件满足招标文件全部实质性要求，且按照评审因素的量化指标评审得分最高的投标人为中标候选人的评标方法。</w:t>
      </w:r>
    </w:p>
    <w:p w14:paraId="66468605">
      <w:pPr>
        <w:adjustRightInd w:val="0"/>
        <w:snapToGrid w:val="0"/>
        <w:spacing w:before="161" w:beforeLines="50" w:line="360" w:lineRule="auto"/>
        <w:ind w:firstLine="420" w:firstLineChars="200"/>
        <w:jc w:val="left"/>
        <w:rPr>
          <w:rFonts w:hint="eastAsia" w:ascii="宋体" w:hAnsi="宋体" w:eastAsia="宋体" w:cs="宋体"/>
          <w:bCs/>
          <w:szCs w:val="21"/>
        </w:rPr>
      </w:pPr>
      <w:r>
        <w:rPr>
          <w:rFonts w:hint="eastAsia" w:ascii="宋体" w:hAnsi="宋体" w:eastAsia="宋体" w:cs="宋体"/>
          <w:bCs/>
          <w:szCs w:val="21"/>
        </w:rPr>
        <w:t>1.2最低评标价，是指投标文件满足招标文件全部实质性要求，且投标报价最低的投标人为中标候选人的评标方法。</w:t>
      </w:r>
    </w:p>
    <w:p w14:paraId="3A906D58">
      <w:pPr>
        <w:adjustRightInd w:val="0"/>
        <w:snapToGrid w:val="0"/>
        <w:spacing w:before="161" w:beforeLines="50" w:line="360" w:lineRule="auto"/>
        <w:ind w:firstLine="420" w:firstLineChars="200"/>
        <w:jc w:val="left"/>
        <w:rPr>
          <w:rFonts w:hint="eastAsia" w:ascii="宋体" w:hAnsi="宋体" w:eastAsia="宋体" w:cs="宋体"/>
          <w:bCs/>
          <w:szCs w:val="21"/>
        </w:rPr>
      </w:pPr>
      <w:r>
        <w:rPr>
          <w:rFonts w:hint="eastAsia" w:ascii="宋体" w:hAnsi="宋体" w:eastAsia="宋体" w:cs="宋体"/>
          <w:bCs/>
          <w:szCs w:val="21"/>
        </w:rPr>
        <w:t>1.3本采购项目评标方法见本章第一节</w:t>
      </w:r>
      <w:r>
        <w:rPr>
          <w:rFonts w:hint="eastAsia" w:ascii="宋体" w:hAnsi="宋体" w:eastAsia="宋体" w:cs="宋体"/>
          <w:b/>
          <w:szCs w:val="21"/>
        </w:rPr>
        <w:t>【评标方法及标准前附表】</w:t>
      </w:r>
      <w:r>
        <w:rPr>
          <w:rFonts w:hint="eastAsia" w:ascii="宋体" w:hAnsi="宋体" w:eastAsia="宋体" w:cs="宋体"/>
          <w:szCs w:val="21"/>
        </w:rPr>
        <w:t>。</w:t>
      </w:r>
    </w:p>
    <w:p w14:paraId="51BFA8A7">
      <w:pPr>
        <w:keepNext w:val="0"/>
        <w:keepLines w:val="0"/>
        <w:widowControl w:val="0"/>
        <w:adjustRightInd w:val="0"/>
        <w:snapToGrid w:val="0"/>
        <w:spacing w:before="161" w:beforeLines="50" w:after="0" w:line="360" w:lineRule="auto"/>
        <w:jc w:val="both"/>
        <w:outlineLvl w:val="2"/>
        <w:rPr>
          <w:rFonts w:hint="eastAsia" w:ascii="宋体" w:hAnsi="宋体" w:eastAsia="宋体" w:cs="宋体"/>
          <w:b/>
          <w:bCs w:val="0"/>
          <w:kern w:val="2"/>
          <w:sz w:val="24"/>
          <w:szCs w:val="24"/>
          <w:lang w:val="en-US" w:eastAsia="zh-CN" w:bidi="ar-SA"/>
        </w:rPr>
      </w:pPr>
      <w:bookmarkStart w:id="72" w:name="_Toc23638"/>
      <w:r>
        <w:rPr>
          <w:rFonts w:hint="eastAsia" w:ascii="宋体" w:hAnsi="宋体" w:eastAsia="宋体" w:cs="宋体"/>
          <w:b/>
          <w:bCs w:val="0"/>
          <w:kern w:val="2"/>
          <w:sz w:val="24"/>
          <w:szCs w:val="24"/>
          <w:lang w:val="en-US" w:eastAsia="zh-CN" w:bidi="ar-SA"/>
        </w:rPr>
        <w:t>2．评标程序</w:t>
      </w:r>
      <w:bookmarkEnd w:id="72"/>
    </w:p>
    <w:p w14:paraId="40B5E6C9">
      <w:pPr>
        <w:adjustRightInd w:val="0"/>
        <w:snapToGrid w:val="0"/>
        <w:spacing w:before="161" w:beforeLines="50" w:line="360" w:lineRule="auto"/>
        <w:ind w:firstLine="420" w:firstLineChars="200"/>
        <w:jc w:val="left"/>
        <w:rPr>
          <w:rFonts w:hint="eastAsia" w:ascii="宋体" w:hAnsi="宋体" w:eastAsia="宋体" w:cs="宋体"/>
          <w:bCs/>
          <w:szCs w:val="21"/>
        </w:rPr>
      </w:pPr>
      <w:r>
        <w:rPr>
          <w:rFonts w:hint="eastAsia" w:ascii="宋体" w:hAnsi="宋体" w:eastAsia="宋体" w:cs="宋体"/>
          <w:bCs/>
          <w:szCs w:val="21"/>
        </w:rPr>
        <w:t>2.1评标程序分为投标文件符合性审查、澄清有关问题、比较和评价、推荐中标候选人。</w:t>
      </w:r>
    </w:p>
    <w:p w14:paraId="1D6377E0">
      <w:pPr>
        <w:keepNext w:val="0"/>
        <w:keepLines w:val="0"/>
        <w:widowControl w:val="0"/>
        <w:adjustRightInd w:val="0"/>
        <w:snapToGrid w:val="0"/>
        <w:spacing w:before="161" w:beforeLines="50" w:after="0" w:line="360" w:lineRule="auto"/>
        <w:jc w:val="both"/>
        <w:outlineLvl w:val="2"/>
        <w:rPr>
          <w:rFonts w:hint="eastAsia" w:ascii="宋体" w:hAnsi="宋体" w:eastAsia="宋体" w:cs="宋体"/>
          <w:b/>
          <w:bCs w:val="0"/>
          <w:kern w:val="2"/>
          <w:sz w:val="24"/>
          <w:szCs w:val="24"/>
          <w:lang w:val="en-US" w:eastAsia="zh-CN" w:bidi="ar-SA"/>
        </w:rPr>
      </w:pPr>
      <w:bookmarkStart w:id="73" w:name="_Toc1922"/>
      <w:r>
        <w:rPr>
          <w:rFonts w:hint="eastAsia" w:ascii="宋体" w:hAnsi="宋体" w:eastAsia="宋体" w:cs="宋体"/>
          <w:b/>
          <w:bCs w:val="0"/>
          <w:kern w:val="2"/>
          <w:sz w:val="24"/>
          <w:szCs w:val="24"/>
          <w:lang w:val="en-US" w:eastAsia="zh-CN" w:bidi="ar-SA"/>
        </w:rPr>
        <w:t>3．投标文件的符合性审查</w:t>
      </w:r>
      <w:bookmarkEnd w:id="73"/>
    </w:p>
    <w:p w14:paraId="0BFA9176">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3.1资格审查结束后，评标委员会依法按照本章第三节“投标文件的符合性审查”规定进行投标文件符合性。</w:t>
      </w:r>
    </w:p>
    <w:p w14:paraId="26AB217A">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3.2符合性审查合格投标人少于3家的，应予废标。</w:t>
      </w:r>
    </w:p>
    <w:p w14:paraId="0E301559">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3.3单一产品采购项目：提供相同品牌产品的不同投标人参加同一合同项下投标的，按一家投标人计算。提供不同品牌产品的投标人不足三家的，应予废标。</w:t>
      </w:r>
    </w:p>
    <w:p w14:paraId="65AFAA82">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3.4非单一产品采购项目：采购人或者采购代理机构将在</w:t>
      </w:r>
      <w:r>
        <w:rPr>
          <w:rFonts w:hint="eastAsia" w:ascii="宋体" w:hAnsi="宋体" w:eastAsia="宋体" w:cs="宋体"/>
          <w:b/>
          <w:szCs w:val="21"/>
        </w:rPr>
        <w:t>【评标方法及标准前附表】</w:t>
      </w:r>
      <w:r>
        <w:rPr>
          <w:rFonts w:hint="eastAsia" w:ascii="宋体" w:hAnsi="宋体" w:eastAsia="宋体" w:cs="宋体"/>
          <w:szCs w:val="21"/>
        </w:rPr>
        <w:t>中载明核心产品。多家投标人提供的核心产品品牌相同的，视为相同品牌，按本章本节第3.3款规定处理。</w:t>
      </w:r>
    </w:p>
    <w:p w14:paraId="1F2D1964">
      <w:pPr>
        <w:keepNext w:val="0"/>
        <w:keepLines w:val="0"/>
        <w:widowControl w:val="0"/>
        <w:adjustRightInd w:val="0"/>
        <w:snapToGrid w:val="0"/>
        <w:spacing w:before="161" w:beforeLines="50" w:after="0" w:line="360" w:lineRule="auto"/>
        <w:jc w:val="both"/>
        <w:outlineLvl w:val="2"/>
        <w:rPr>
          <w:rFonts w:hint="eastAsia" w:ascii="宋体" w:hAnsi="宋体" w:eastAsia="宋体" w:cs="宋体"/>
          <w:b/>
          <w:bCs w:val="0"/>
          <w:kern w:val="2"/>
          <w:sz w:val="24"/>
          <w:szCs w:val="24"/>
          <w:lang w:val="en-US" w:eastAsia="zh-CN" w:bidi="ar-SA"/>
        </w:rPr>
      </w:pPr>
      <w:bookmarkStart w:id="74" w:name="_Toc2325"/>
      <w:r>
        <w:rPr>
          <w:rFonts w:hint="eastAsia" w:ascii="宋体" w:hAnsi="宋体" w:eastAsia="宋体" w:cs="宋体"/>
          <w:b/>
          <w:bCs w:val="0"/>
          <w:kern w:val="2"/>
          <w:sz w:val="24"/>
          <w:szCs w:val="24"/>
          <w:lang w:val="en-US" w:eastAsia="zh-CN" w:bidi="ar-SA"/>
        </w:rPr>
        <w:t>4．投标文件的澄清</w:t>
      </w:r>
      <w:bookmarkEnd w:id="74"/>
    </w:p>
    <w:p w14:paraId="2033D4D7">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4.1对于投标文件中含义不明确、同类问题表述不一致或者有明显文字和计算错误的内容，评标委员会应当以书面形式要求投标人作出必要的澄清、说明或者补正。</w:t>
      </w:r>
    </w:p>
    <w:p w14:paraId="7F7908D4">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4.2投标文件的投标报价出现前后不一致的，除</w:t>
      </w:r>
      <w:r>
        <w:rPr>
          <w:rFonts w:hint="eastAsia" w:ascii="宋体" w:hAnsi="宋体" w:eastAsia="宋体" w:cs="宋体"/>
          <w:b/>
          <w:szCs w:val="21"/>
        </w:rPr>
        <w:t>【评标方法及标准前附表】</w:t>
      </w:r>
      <w:r>
        <w:rPr>
          <w:rFonts w:hint="eastAsia" w:ascii="宋体" w:hAnsi="宋体" w:eastAsia="宋体" w:cs="宋体"/>
          <w:szCs w:val="21"/>
        </w:rPr>
        <w:t>另有规定外，按照下列规定修正：</w:t>
      </w:r>
    </w:p>
    <w:p w14:paraId="6154AD37">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（1）投标文件中开标一览表内容与投标文件中相应内容不一致的，以开标一览表为准；</w:t>
      </w:r>
    </w:p>
    <w:p w14:paraId="08860F18">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（2）大写金额和小写金额不一致的，以大写金额为准；</w:t>
      </w:r>
    </w:p>
    <w:p w14:paraId="19FDC5B7">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（3）单价金额小数点或者百分比有明显错位的，以开标一览表的总价为准，并修改单价；</w:t>
      </w:r>
    </w:p>
    <w:p w14:paraId="3796C796">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（4）总价金额与按单价汇总金额不一致的，以单价金额计算结果为准。</w:t>
      </w:r>
    </w:p>
    <w:p w14:paraId="2E73919F">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4.3投标文件报价同时出现两种以上不一致的，按照前款规定的顺序修正。修正后的报价由投标人代表签字或者加盖单位章确认后产生约束力，投标人不确认的，其投标无效。</w:t>
      </w:r>
    </w:p>
    <w:p w14:paraId="22A64938">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4.4投标人的澄清、说明或者补正应当采用书面形式，并加盖公章，或者由法定代表人或其授权的代表签字，并按评标委员会的通知要求递交。投标人的澄清、说明或者补正不得超出投标文件的范围或者改变投标文件的实质性内容。</w:t>
      </w:r>
    </w:p>
    <w:p w14:paraId="6053B59E">
      <w:pPr>
        <w:adjustRightInd w:val="0"/>
        <w:snapToGrid w:val="0"/>
        <w:spacing w:before="161" w:beforeLines="50" w:line="360" w:lineRule="auto"/>
        <w:ind w:firstLine="420" w:firstLineChars="200"/>
        <w:jc w:val="left"/>
        <w:rPr>
          <w:rFonts w:hint="eastAsia" w:ascii="宋体" w:hAnsi="宋体" w:eastAsia="宋体" w:cs="宋体"/>
          <w:szCs w:val="21"/>
        </w:rPr>
      </w:pPr>
      <w:bookmarkStart w:id="75" w:name="OLE_LINK36"/>
      <w:r>
        <w:rPr>
          <w:rFonts w:hint="eastAsia" w:ascii="宋体" w:hAnsi="宋体" w:eastAsia="宋体" w:cs="宋体"/>
          <w:szCs w:val="21"/>
        </w:rPr>
        <w:t>4.5有效的书面澄清材料，是投标文件的补充材料，成为投标文件的组成部分。</w:t>
      </w:r>
    </w:p>
    <w:p w14:paraId="066B6B28">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4.6投标人的报价符合下列情形之一的，评标委员会应当启动异常低价投标审查程序：</w:t>
      </w:r>
    </w:p>
    <w:bookmarkEnd w:id="75"/>
    <w:p w14:paraId="61FAA190">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（1）投标（响应）报价低于全部通过符合性审查供应商投标（响应）报价平均值60%的，即投标（响应）报价＜全部通过符合性审查供应商投标（响应）报价平均值×60%；</w:t>
      </w:r>
    </w:p>
    <w:p w14:paraId="67150ED1">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（2）投标（响应）报价低于通过符合性审查的次低报价供应商投标（响应）报价55%的，即投标（响应）报价＜通过符合性审查的次低报价（响应）供应商投标报价×55%；</w:t>
      </w:r>
    </w:p>
    <w:p w14:paraId="2DE64B48">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（3）投标（响应）报价低于采购项目最高限价55%的，即投标（响应）报价＜采购项目最高限价×55%；</w:t>
      </w:r>
    </w:p>
    <w:p w14:paraId="76E2DD73">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（4）评审委员会基于专业判断，认为供应商报价过低，有可能影响产品质量或者不能诚信履约的其他情形（评审委员会有权对分项价格明显不合理的情形启动审查）。</w:t>
      </w:r>
    </w:p>
    <w:p w14:paraId="78566BE0">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说明：（一）采购人可以结合具体项目实际情况，提高上述第1项至第3项中启动异常低价投标（响应）审查的数值标准，但是最高不得超过65%。</w:t>
      </w:r>
    </w:p>
    <w:p w14:paraId="26756E2E">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二）评审委员会在评审中发现【异常低价审查】规定情形之一的，评标委员会应当启动异常低价投标审查程序。评审委员会启动异常低价投标审查后，属于第1项至第4项情形的，应当要求相关供应商在评审现场合理的时间内对投标（响应）价格作出解释，提供项目具体成本测算等与报价合理性相关的书面说明及必要的证明材料，包括但不限于原材料成本、人工成本、制造费等，给予相关供应商的合理时间一般不少于60分钟。其中，属于第3项情形，供应商已随投标（响应）文件一并提交相关书面说明及必要的证明材料的，在评审现场可不再重复提交。</w:t>
      </w:r>
    </w:p>
    <w:p w14:paraId="0210B3A8">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三）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5C8D872">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本项目采用全流程电子交易系统，投标报价的澄清由评标委员会通过电子交易系统发起，投标人应及时关注电子交易系统的信息提示，采购人或采购代理机构不再另行通知。因投标人自身原因未能在规定时限内提交澄清材料的，由此带来的不利后果，由投标人自行承担。</w:t>
      </w:r>
    </w:p>
    <w:p w14:paraId="152471E6">
      <w:pPr>
        <w:keepNext w:val="0"/>
        <w:keepLines w:val="0"/>
        <w:widowControl w:val="0"/>
        <w:adjustRightInd w:val="0"/>
        <w:snapToGrid w:val="0"/>
        <w:spacing w:before="161" w:beforeLines="50" w:after="0" w:line="360" w:lineRule="auto"/>
        <w:jc w:val="both"/>
        <w:outlineLvl w:val="2"/>
        <w:rPr>
          <w:rFonts w:hint="eastAsia" w:ascii="宋体" w:hAnsi="宋体" w:eastAsia="宋体" w:cs="宋体"/>
          <w:b/>
          <w:bCs w:val="0"/>
          <w:kern w:val="2"/>
          <w:sz w:val="24"/>
          <w:szCs w:val="24"/>
          <w:lang w:val="en-US" w:eastAsia="zh-CN" w:bidi="ar-SA"/>
        </w:rPr>
      </w:pPr>
      <w:bookmarkStart w:id="76" w:name="_Toc3267"/>
      <w:r>
        <w:rPr>
          <w:rFonts w:hint="eastAsia" w:ascii="宋体" w:hAnsi="宋体" w:eastAsia="宋体" w:cs="宋体"/>
          <w:b/>
          <w:bCs w:val="0"/>
          <w:kern w:val="2"/>
          <w:sz w:val="24"/>
          <w:szCs w:val="24"/>
          <w:lang w:val="en-US" w:eastAsia="zh-CN" w:bidi="ar-SA"/>
        </w:rPr>
        <w:t>5．投标文件的比较与评价</w:t>
      </w:r>
      <w:bookmarkEnd w:id="76"/>
    </w:p>
    <w:p w14:paraId="32323EED">
      <w:pPr>
        <w:adjustRightInd w:val="0"/>
        <w:snapToGrid w:val="0"/>
        <w:spacing w:before="161" w:beforeLines="50" w:line="360" w:lineRule="auto"/>
        <w:ind w:firstLine="420" w:firstLineChars="200"/>
        <w:jc w:val="left"/>
        <w:rPr>
          <w:rFonts w:hint="eastAsia" w:ascii="宋体" w:hAnsi="宋体" w:eastAsia="宋体" w:cs="宋体"/>
          <w:bCs/>
          <w:szCs w:val="21"/>
        </w:rPr>
      </w:pPr>
      <w:r>
        <w:rPr>
          <w:rFonts w:hint="eastAsia" w:ascii="宋体" w:hAnsi="宋体" w:eastAsia="宋体" w:cs="宋体"/>
          <w:bCs/>
          <w:szCs w:val="21"/>
        </w:rPr>
        <w:t>5.1评标委员会依法按照本章第三节“投标文件的比较与评价”规定，对资格性检查和符合性检查合格的投标文件进行比较和评价。</w:t>
      </w:r>
    </w:p>
    <w:p w14:paraId="4CA4D0AE">
      <w:pPr>
        <w:adjustRightInd w:val="0"/>
        <w:snapToGrid w:val="0"/>
        <w:spacing w:before="161" w:beforeLines="50" w:line="360" w:lineRule="auto"/>
        <w:ind w:firstLine="420" w:firstLineChars="200"/>
        <w:jc w:val="left"/>
        <w:rPr>
          <w:rFonts w:hint="eastAsia" w:ascii="宋体" w:hAnsi="宋体" w:eastAsia="宋体" w:cs="宋体"/>
          <w:bCs/>
          <w:szCs w:val="21"/>
        </w:rPr>
      </w:pPr>
      <w:r>
        <w:rPr>
          <w:rFonts w:hint="eastAsia" w:ascii="宋体" w:hAnsi="宋体" w:eastAsia="宋体" w:cs="宋体"/>
          <w:bCs/>
          <w:szCs w:val="21"/>
        </w:rPr>
        <w:t>5.2单一产品采购项目：</w:t>
      </w:r>
    </w:p>
    <w:p w14:paraId="69E68118">
      <w:pPr>
        <w:adjustRightInd w:val="0"/>
        <w:snapToGrid w:val="0"/>
        <w:spacing w:before="161" w:beforeLines="50" w:line="360" w:lineRule="auto"/>
        <w:ind w:firstLine="420" w:firstLineChars="200"/>
        <w:jc w:val="left"/>
        <w:rPr>
          <w:rFonts w:hint="eastAsia" w:ascii="宋体" w:hAnsi="宋体" w:eastAsia="宋体" w:cs="宋体"/>
          <w:bCs/>
          <w:szCs w:val="21"/>
        </w:rPr>
      </w:pPr>
      <w:r>
        <w:rPr>
          <w:rFonts w:hint="eastAsia" w:ascii="宋体" w:hAnsi="宋体" w:eastAsia="宋体" w:cs="宋体"/>
          <w:szCs w:val="21"/>
        </w:rPr>
        <w:t>（1）最低评标价法：</w:t>
      </w:r>
      <w:r>
        <w:rPr>
          <w:rFonts w:hint="eastAsia" w:ascii="宋体" w:hAnsi="宋体" w:eastAsia="宋体" w:cs="宋体"/>
          <w:bCs/>
          <w:szCs w:val="21"/>
        </w:rPr>
        <w:t>提供相同品牌产品的不同投标人参加同一合同项下投标的，以其中通过资格审查、符合性审查且报价最低的参加评标，其他投标无效；报价相同的，按照</w:t>
      </w:r>
      <w:r>
        <w:rPr>
          <w:rFonts w:hint="eastAsia" w:ascii="宋体" w:hAnsi="宋体" w:eastAsia="宋体" w:cs="宋体"/>
          <w:b/>
          <w:bCs/>
          <w:szCs w:val="21"/>
        </w:rPr>
        <w:t>【评标方法及标准前附表】</w:t>
      </w:r>
      <w:r>
        <w:rPr>
          <w:rFonts w:hint="eastAsia" w:ascii="宋体" w:hAnsi="宋体" w:eastAsia="宋体" w:cs="宋体"/>
          <w:bCs/>
          <w:szCs w:val="21"/>
        </w:rPr>
        <w:t>规定的方式确定一个参加评标的投标人，招标文件未规定的采取随机抽取方式确定，其他</w:t>
      </w:r>
      <w:r>
        <w:rPr>
          <w:rFonts w:hint="eastAsia" w:ascii="宋体" w:hAnsi="宋体" w:eastAsia="宋体" w:cs="宋体"/>
          <w:b/>
          <w:bCs/>
          <w:szCs w:val="21"/>
        </w:rPr>
        <w:t>投标无效</w:t>
      </w:r>
      <w:r>
        <w:rPr>
          <w:rFonts w:hint="eastAsia" w:ascii="宋体" w:hAnsi="宋体" w:eastAsia="宋体" w:cs="宋体"/>
          <w:bCs/>
          <w:szCs w:val="21"/>
        </w:rPr>
        <w:t>。</w:t>
      </w:r>
    </w:p>
    <w:p w14:paraId="4AF36669">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（2）综合评分法：提供相同品牌产品且通过资格审查、符合性审查的不同投标人参加同一合同项下投标的，评审后得分最高的同品牌投标人获得中标人推荐资格；评审得分相同的，按照</w:t>
      </w:r>
      <w:r>
        <w:rPr>
          <w:rFonts w:hint="eastAsia" w:ascii="宋体" w:hAnsi="宋体" w:eastAsia="宋体" w:cs="宋体"/>
          <w:b/>
          <w:szCs w:val="21"/>
        </w:rPr>
        <w:t>【评标方法及标准前附表】</w:t>
      </w:r>
      <w:r>
        <w:rPr>
          <w:rFonts w:hint="eastAsia" w:ascii="宋体" w:hAnsi="宋体" w:eastAsia="宋体" w:cs="宋体"/>
          <w:szCs w:val="21"/>
        </w:rPr>
        <w:t>规定的方式确定一个投标人获得中标人推荐资格，招标文件未规定的采取随机抽取方式确定，其他同品牌投标人</w:t>
      </w:r>
      <w:r>
        <w:rPr>
          <w:rFonts w:hint="eastAsia" w:ascii="宋体" w:hAnsi="宋体" w:eastAsia="宋体" w:cs="宋体"/>
          <w:b/>
          <w:szCs w:val="21"/>
        </w:rPr>
        <w:t>不作为中标候选人</w:t>
      </w:r>
      <w:r>
        <w:rPr>
          <w:rFonts w:hint="eastAsia" w:ascii="宋体" w:hAnsi="宋体" w:eastAsia="宋体" w:cs="宋体"/>
          <w:szCs w:val="21"/>
        </w:rPr>
        <w:t>。</w:t>
      </w:r>
    </w:p>
    <w:p w14:paraId="76ACAB2C">
      <w:pPr>
        <w:adjustRightInd w:val="0"/>
        <w:snapToGrid w:val="0"/>
        <w:spacing w:before="161" w:beforeLines="50" w:line="360" w:lineRule="auto"/>
        <w:ind w:firstLine="420" w:firstLineChars="200"/>
        <w:jc w:val="left"/>
        <w:rPr>
          <w:rFonts w:hint="eastAsia" w:ascii="宋体" w:hAnsi="宋体" w:eastAsia="宋体" w:cs="宋体"/>
          <w:bCs/>
          <w:szCs w:val="21"/>
        </w:rPr>
      </w:pPr>
      <w:r>
        <w:rPr>
          <w:rFonts w:hint="eastAsia" w:ascii="宋体" w:hAnsi="宋体" w:eastAsia="宋体" w:cs="宋体"/>
          <w:bCs/>
          <w:szCs w:val="21"/>
        </w:rPr>
        <w:t>5.3非单一产品采购项目：多家投标人提供的核心产品品牌均相同的，视为相同品牌，按本章本节第 5.2 款规定处理。</w:t>
      </w:r>
    </w:p>
    <w:p w14:paraId="592FBFCD">
      <w:pPr>
        <w:adjustRightInd w:val="0"/>
        <w:snapToGrid w:val="0"/>
        <w:spacing w:before="161" w:beforeLines="50" w:line="360" w:lineRule="auto"/>
        <w:ind w:firstLine="420" w:firstLineChars="200"/>
        <w:jc w:val="left"/>
        <w:rPr>
          <w:rFonts w:hint="eastAsia" w:ascii="宋体" w:hAnsi="宋体" w:eastAsia="宋体" w:cs="宋体"/>
          <w:bCs/>
          <w:szCs w:val="21"/>
        </w:rPr>
      </w:pPr>
      <w:r>
        <w:rPr>
          <w:rFonts w:hint="eastAsia" w:ascii="宋体" w:hAnsi="宋体" w:eastAsia="宋体" w:cs="宋体"/>
          <w:bCs/>
          <w:szCs w:val="21"/>
        </w:rPr>
        <w:t>5.4政府采购政策：</w:t>
      </w:r>
    </w:p>
    <w:p w14:paraId="17DE0F64">
      <w:pPr>
        <w:adjustRightInd w:val="0"/>
        <w:snapToGrid w:val="0"/>
        <w:spacing w:before="161" w:beforeLines="50" w:line="360" w:lineRule="auto"/>
        <w:ind w:firstLine="420" w:firstLineChars="200"/>
        <w:jc w:val="left"/>
        <w:rPr>
          <w:rFonts w:hint="eastAsia" w:ascii="宋体" w:hAnsi="宋体" w:eastAsia="宋体" w:cs="宋体"/>
          <w:bCs/>
          <w:szCs w:val="21"/>
        </w:rPr>
      </w:pPr>
      <w:r>
        <w:rPr>
          <w:rFonts w:hint="eastAsia" w:ascii="宋体" w:hAnsi="宋体" w:eastAsia="宋体" w:cs="宋体"/>
          <w:szCs w:val="21"/>
        </w:rPr>
        <w:t>（1）</w:t>
      </w:r>
      <w:r>
        <w:rPr>
          <w:rFonts w:hint="eastAsia" w:ascii="宋体" w:hAnsi="宋体" w:eastAsia="宋体" w:cs="宋体"/>
          <w:bCs/>
          <w:szCs w:val="21"/>
        </w:rPr>
        <w:t>价格评审优惠：</w:t>
      </w:r>
      <w:r>
        <w:rPr>
          <w:rFonts w:hint="eastAsia" w:ascii="宋体" w:hAnsi="宋体" w:eastAsia="宋体" w:cs="宋体"/>
          <w:szCs w:val="21"/>
        </w:rPr>
        <w:t>按</w:t>
      </w:r>
      <w:r>
        <w:rPr>
          <w:rFonts w:hint="eastAsia" w:ascii="宋体" w:hAnsi="宋体" w:eastAsia="宋体" w:cs="宋体"/>
          <w:b/>
          <w:szCs w:val="21"/>
        </w:rPr>
        <w:t>【评标方法及标准前附表】</w:t>
      </w:r>
      <w:r>
        <w:rPr>
          <w:rFonts w:hint="eastAsia" w:ascii="宋体" w:hAnsi="宋体" w:eastAsia="宋体" w:cs="宋体"/>
          <w:szCs w:val="21"/>
        </w:rPr>
        <w:t>及第二章“投标须知”的相关规定给予一定的价格折扣。</w:t>
      </w:r>
    </w:p>
    <w:p w14:paraId="3D0122BB">
      <w:pPr>
        <w:adjustRightInd w:val="0"/>
        <w:snapToGrid w:val="0"/>
        <w:spacing w:before="161" w:beforeLines="50" w:line="360" w:lineRule="auto"/>
        <w:ind w:firstLine="420" w:firstLineChars="200"/>
        <w:jc w:val="left"/>
        <w:rPr>
          <w:rFonts w:hint="eastAsia" w:ascii="宋体" w:hAnsi="宋体" w:eastAsia="宋体" w:cs="宋体"/>
          <w:bCs/>
          <w:szCs w:val="21"/>
        </w:rPr>
      </w:pPr>
      <w:r>
        <w:rPr>
          <w:rFonts w:hint="eastAsia" w:ascii="宋体" w:hAnsi="宋体" w:eastAsia="宋体" w:cs="宋体"/>
          <w:szCs w:val="21"/>
        </w:rPr>
        <w:t>（2）优先采购：</w:t>
      </w:r>
      <w:r>
        <w:rPr>
          <w:rFonts w:hint="eastAsia" w:ascii="宋体" w:hAnsi="宋体" w:eastAsia="宋体" w:cs="宋体"/>
          <w:bCs/>
          <w:szCs w:val="21"/>
        </w:rPr>
        <w:t>评审时按</w:t>
      </w:r>
      <w:r>
        <w:rPr>
          <w:rFonts w:hint="eastAsia" w:ascii="宋体" w:hAnsi="宋体" w:eastAsia="宋体" w:cs="宋体"/>
          <w:b/>
          <w:szCs w:val="21"/>
        </w:rPr>
        <w:t>【评标方法及标准前附表】</w:t>
      </w:r>
      <w:r>
        <w:rPr>
          <w:rFonts w:hint="eastAsia" w:ascii="宋体" w:hAnsi="宋体" w:eastAsia="宋体" w:cs="宋体"/>
          <w:bCs/>
          <w:szCs w:val="21"/>
        </w:rPr>
        <w:t>及第二章</w:t>
      </w:r>
      <w:r>
        <w:rPr>
          <w:rFonts w:hint="eastAsia" w:ascii="宋体" w:hAnsi="宋体" w:eastAsia="宋体" w:cs="宋体"/>
          <w:szCs w:val="21"/>
        </w:rPr>
        <w:t>“投标须知”</w:t>
      </w:r>
      <w:r>
        <w:rPr>
          <w:rFonts w:hint="eastAsia" w:ascii="宋体" w:hAnsi="宋体" w:eastAsia="宋体" w:cs="宋体"/>
          <w:bCs/>
          <w:szCs w:val="21"/>
        </w:rPr>
        <w:t>的相关规定给予价格折扣或者加分。</w:t>
      </w:r>
    </w:p>
    <w:p w14:paraId="6F9E2AA2">
      <w:pPr>
        <w:keepNext w:val="0"/>
        <w:keepLines w:val="0"/>
        <w:widowControl w:val="0"/>
        <w:adjustRightInd w:val="0"/>
        <w:snapToGrid w:val="0"/>
        <w:spacing w:before="161" w:beforeLines="50" w:after="0" w:line="360" w:lineRule="auto"/>
        <w:jc w:val="both"/>
        <w:outlineLvl w:val="2"/>
        <w:rPr>
          <w:rFonts w:hint="eastAsia" w:ascii="宋体" w:hAnsi="宋体" w:eastAsia="宋体" w:cs="宋体"/>
          <w:b/>
          <w:bCs/>
          <w:kern w:val="2"/>
          <w:sz w:val="24"/>
          <w:szCs w:val="24"/>
          <w:lang w:val="en-US" w:eastAsia="zh-CN" w:bidi="ar-SA"/>
        </w:rPr>
      </w:pPr>
      <w:bookmarkStart w:id="77" w:name="_Toc29558"/>
      <w:r>
        <w:rPr>
          <w:rFonts w:hint="eastAsia" w:ascii="宋体" w:hAnsi="宋体" w:eastAsia="宋体" w:cs="宋体"/>
          <w:b/>
          <w:bCs w:val="0"/>
          <w:kern w:val="2"/>
          <w:sz w:val="24"/>
          <w:szCs w:val="24"/>
          <w:lang w:val="en-US" w:eastAsia="zh-CN" w:bidi="ar-SA"/>
        </w:rPr>
        <w:t>6．</w:t>
      </w:r>
      <w:r>
        <w:rPr>
          <w:rFonts w:hint="eastAsia" w:ascii="宋体" w:hAnsi="宋体" w:eastAsia="宋体" w:cs="宋体"/>
          <w:b/>
          <w:bCs/>
          <w:kern w:val="2"/>
          <w:sz w:val="24"/>
          <w:szCs w:val="24"/>
          <w:lang w:val="en-US" w:eastAsia="zh-CN" w:bidi="ar-SA"/>
        </w:rPr>
        <w:t>推荐中标候选人</w:t>
      </w:r>
      <w:bookmarkEnd w:id="77"/>
    </w:p>
    <w:p w14:paraId="21D68CBA">
      <w:pPr>
        <w:adjustRightInd w:val="0"/>
        <w:snapToGrid w:val="0"/>
        <w:spacing w:before="161" w:beforeLines="50" w:line="360" w:lineRule="auto"/>
        <w:ind w:firstLine="420" w:firstLineChars="200"/>
        <w:jc w:val="left"/>
        <w:rPr>
          <w:rFonts w:hint="eastAsia" w:ascii="宋体" w:hAnsi="宋体" w:eastAsia="宋体" w:cs="宋体"/>
          <w:bCs/>
          <w:szCs w:val="21"/>
        </w:rPr>
      </w:pPr>
      <w:r>
        <w:rPr>
          <w:rFonts w:hint="eastAsia" w:ascii="宋体" w:hAnsi="宋体" w:eastAsia="宋体" w:cs="宋体"/>
          <w:szCs w:val="21"/>
        </w:rPr>
        <w:t>6.1最低评标价法：</w:t>
      </w:r>
      <w:r>
        <w:rPr>
          <w:rFonts w:hint="eastAsia" w:ascii="宋体" w:hAnsi="宋体" w:eastAsia="宋体" w:cs="宋体"/>
          <w:bCs/>
          <w:szCs w:val="21"/>
        </w:rPr>
        <w:t>评标结果按算术修正和落实政府采购政策需进行的价格扣除后的投标报价由低到高顺序排列。报价相同的并列，按</w:t>
      </w:r>
      <w:r>
        <w:rPr>
          <w:rFonts w:hint="eastAsia" w:ascii="宋体" w:hAnsi="宋体" w:eastAsia="宋体" w:cs="宋体"/>
          <w:b/>
          <w:szCs w:val="21"/>
        </w:rPr>
        <w:t>【评标方法及标准前附表】</w:t>
      </w:r>
      <w:r>
        <w:rPr>
          <w:rFonts w:hint="eastAsia" w:ascii="宋体" w:hAnsi="宋体" w:eastAsia="宋体" w:cs="宋体"/>
          <w:szCs w:val="21"/>
        </w:rPr>
        <w:t>规定的方式确定中标人；</w:t>
      </w:r>
      <w:r>
        <w:rPr>
          <w:rFonts w:hint="eastAsia" w:ascii="宋体" w:hAnsi="宋体" w:eastAsia="宋体" w:cs="宋体"/>
          <w:bCs/>
          <w:szCs w:val="21"/>
        </w:rPr>
        <w:t>招标文件未规定的，采取随机抽取的方式确定。</w:t>
      </w:r>
    </w:p>
    <w:p w14:paraId="3EE1896C">
      <w:pPr>
        <w:adjustRightInd w:val="0"/>
        <w:snapToGrid w:val="0"/>
        <w:spacing w:before="161" w:beforeLines="50" w:line="360" w:lineRule="auto"/>
        <w:ind w:firstLine="420" w:firstLineChars="200"/>
        <w:jc w:val="left"/>
        <w:rPr>
          <w:rFonts w:hint="eastAsia" w:ascii="宋体" w:hAnsi="宋体" w:eastAsia="宋体" w:cs="宋体"/>
          <w:bCs/>
          <w:szCs w:val="21"/>
        </w:rPr>
      </w:pPr>
      <w:r>
        <w:rPr>
          <w:rFonts w:hint="eastAsia" w:ascii="宋体" w:hAnsi="宋体" w:eastAsia="宋体" w:cs="宋体"/>
          <w:bCs/>
          <w:szCs w:val="21"/>
        </w:rPr>
        <w:t>6.2综合评分法：评标结果按评审后得分由高到低顺序排列。得分相同的，按投标报价由低到高顺序排列。得分且投标报价相同的并列，按</w:t>
      </w:r>
      <w:r>
        <w:rPr>
          <w:rFonts w:hint="eastAsia" w:ascii="宋体" w:hAnsi="宋体" w:eastAsia="宋体" w:cs="宋体"/>
          <w:b/>
          <w:bCs/>
          <w:szCs w:val="21"/>
        </w:rPr>
        <w:t>【评标方法及标准前附表】</w:t>
      </w:r>
      <w:r>
        <w:rPr>
          <w:rFonts w:hint="eastAsia" w:ascii="宋体" w:hAnsi="宋体" w:eastAsia="宋体" w:cs="宋体"/>
          <w:bCs/>
          <w:szCs w:val="21"/>
        </w:rPr>
        <w:t>规定的方式确定中标人；招标文件未规定的，采取随机抽取的方式确定。</w:t>
      </w:r>
    </w:p>
    <w:p w14:paraId="6D61C382">
      <w:pPr>
        <w:keepNext w:val="0"/>
        <w:keepLines w:val="0"/>
        <w:widowControl w:val="0"/>
        <w:adjustRightInd w:val="0"/>
        <w:snapToGrid w:val="0"/>
        <w:spacing w:before="161" w:beforeLines="50" w:after="0" w:line="360" w:lineRule="auto"/>
        <w:jc w:val="both"/>
        <w:outlineLvl w:val="2"/>
        <w:rPr>
          <w:rFonts w:hint="eastAsia" w:ascii="宋体" w:hAnsi="宋体" w:eastAsia="宋体" w:cs="宋体"/>
          <w:b/>
          <w:bCs/>
          <w:kern w:val="2"/>
          <w:sz w:val="24"/>
          <w:szCs w:val="24"/>
          <w:lang w:val="en-US" w:eastAsia="zh-CN" w:bidi="ar-SA"/>
        </w:rPr>
      </w:pPr>
      <w:bookmarkStart w:id="78" w:name="_Toc2387"/>
      <w:r>
        <w:rPr>
          <w:rFonts w:hint="eastAsia" w:ascii="宋体" w:hAnsi="宋体" w:eastAsia="宋体" w:cs="宋体"/>
          <w:b/>
          <w:bCs w:val="0"/>
          <w:kern w:val="2"/>
          <w:sz w:val="24"/>
          <w:szCs w:val="24"/>
          <w:lang w:val="en-US" w:eastAsia="zh-CN" w:bidi="ar-SA"/>
        </w:rPr>
        <w:t>7．</w:t>
      </w:r>
      <w:r>
        <w:rPr>
          <w:rFonts w:hint="eastAsia" w:ascii="宋体" w:hAnsi="宋体" w:eastAsia="宋体" w:cs="宋体"/>
          <w:b/>
          <w:bCs/>
          <w:kern w:val="2"/>
          <w:sz w:val="24"/>
          <w:szCs w:val="24"/>
          <w:lang w:val="en-US" w:eastAsia="zh-CN" w:bidi="ar-SA"/>
        </w:rPr>
        <w:t>编写评标报告</w:t>
      </w:r>
      <w:bookmarkEnd w:id="78"/>
    </w:p>
    <w:p w14:paraId="5A9632CF">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7.1评标</w:t>
      </w:r>
      <w:r>
        <w:rPr>
          <w:rFonts w:hint="eastAsia" w:ascii="宋体" w:hAnsi="宋体" w:eastAsia="宋体" w:cs="宋体"/>
          <w:bCs/>
          <w:szCs w:val="21"/>
        </w:rPr>
        <w:t>委员会</w:t>
      </w:r>
      <w:r>
        <w:rPr>
          <w:rFonts w:hint="eastAsia" w:ascii="宋体" w:hAnsi="宋体" w:eastAsia="宋体" w:cs="宋体"/>
          <w:szCs w:val="21"/>
        </w:rPr>
        <w:t>根据全体评标成员签字的原始评标记录和评标结果编写评标报告。</w:t>
      </w:r>
    </w:p>
    <w:p w14:paraId="4F280E48">
      <w:pPr>
        <w:adjustRightInd w:val="0"/>
        <w:snapToGrid w:val="0"/>
        <w:spacing w:before="161" w:beforeLines="50" w:line="360" w:lineRule="auto"/>
        <w:ind w:firstLine="420" w:firstLineChars="200"/>
        <w:jc w:val="left"/>
        <w:rPr>
          <w:rFonts w:hint="eastAsia" w:ascii="宋体" w:hAnsi="宋体" w:eastAsia="宋体" w:cs="宋体"/>
          <w:bCs/>
          <w:szCs w:val="21"/>
        </w:rPr>
      </w:pPr>
      <w:r>
        <w:rPr>
          <w:rFonts w:hint="eastAsia" w:ascii="宋体" w:hAnsi="宋体" w:eastAsia="宋体" w:cs="宋体"/>
          <w:szCs w:val="21"/>
        </w:rPr>
        <w:t>7.2</w:t>
      </w:r>
      <w:r>
        <w:rPr>
          <w:rFonts w:hint="eastAsia" w:ascii="宋体" w:hAnsi="宋体" w:eastAsia="宋体" w:cs="宋体"/>
          <w:bCs/>
          <w:szCs w:val="21"/>
        </w:rPr>
        <w:t>评标委员会成员对需要共同认定的事项存在争议的，应当按照少数服从多数的原则作出结论。持不同意见的评标委员会成员应当在评标报告上签署不同意见及理由，否则视为同意评标报告。</w:t>
      </w:r>
    </w:p>
    <w:p w14:paraId="4EB8CD40">
      <w:pPr>
        <w:keepNext w:val="0"/>
        <w:keepLines w:val="0"/>
        <w:widowControl w:val="0"/>
        <w:adjustRightInd w:val="0"/>
        <w:snapToGrid w:val="0"/>
        <w:spacing w:before="161" w:beforeLines="50" w:after="0" w:line="360" w:lineRule="auto"/>
        <w:jc w:val="both"/>
        <w:outlineLvl w:val="2"/>
        <w:rPr>
          <w:rFonts w:hint="eastAsia" w:ascii="宋体" w:hAnsi="宋体" w:eastAsia="宋体" w:cs="宋体"/>
          <w:b/>
          <w:bCs w:val="0"/>
          <w:kern w:val="2"/>
          <w:sz w:val="24"/>
          <w:szCs w:val="24"/>
          <w:lang w:val="en-US" w:eastAsia="zh-CN" w:bidi="ar-SA"/>
        </w:rPr>
      </w:pPr>
      <w:bookmarkStart w:id="79" w:name="_Toc19531"/>
      <w:r>
        <w:rPr>
          <w:rFonts w:hint="eastAsia" w:ascii="宋体" w:hAnsi="宋体" w:eastAsia="宋体" w:cs="宋体"/>
          <w:b/>
          <w:bCs w:val="0"/>
          <w:kern w:val="2"/>
          <w:sz w:val="24"/>
          <w:szCs w:val="24"/>
          <w:lang w:val="en-US" w:eastAsia="zh-CN" w:bidi="ar-SA"/>
        </w:rPr>
        <w:t>8．</w:t>
      </w:r>
      <w:r>
        <w:rPr>
          <w:rFonts w:hint="eastAsia" w:ascii="宋体" w:hAnsi="宋体" w:eastAsia="宋体" w:cs="宋体"/>
          <w:b/>
          <w:bCs/>
          <w:kern w:val="2"/>
          <w:sz w:val="24"/>
          <w:szCs w:val="24"/>
          <w:lang w:val="en-US" w:eastAsia="zh-CN" w:bidi="ar-SA"/>
        </w:rPr>
        <w:t>评标报告</w:t>
      </w:r>
      <w:r>
        <w:rPr>
          <w:rFonts w:hint="eastAsia" w:ascii="宋体" w:hAnsi="宋体" w:eastAsia="宋体" w:cs="宋体"/>
          <w:b/>
          <w:bCs w:val="0"/>
          <w:kern w:val="2"/>
          <w:sz w:val="24"/>
          <w:szCs w:val="24"/>
          <w:lang w:val="en-US" w:eastAsia="zh-CN" w:bidi="ar-SA"/>
        </w:rPr>
        <w:t>复核</w:t>
      </w:r>
      <w:bookmarkEnd w:id="79"/>
    </w:p>
    <w:p w14:paraId="22A6FC13">
      <w:pPr>
        <w:adjustRightInd w:val="0"/>
        <w:snapToGrid w:val="0"/>
        <w:spacing w:before="161" w:beforeLines="50" w:line="360" w:lineRule="auto"/>
        <w:ind w:firstLine="420" w:firstLineChars="200"/>
        <w:jc w:val="left"/>
        <w:rPr>
          <w:rFonts w:hint="eastAsia" w:ascii="宋体" w:hAnsi="宋体" w:eastAsia="宋体" w:cs="宋体"/>
          <w:bCs/>
          <w:szCs w:val="21"/>
        </w:rPr>
      </w:pPr>
      <w:r>
        <w:rPr>
          <w:rFonts w:hint="eastAsia" w:ascii="宋体" w:hAnsi="宋体" w:eastAsia="宋体" w:cs="宋体"/>
          <w:bCs/>
          <w:szCs w:val="21"/>
        </w:rPr>
        <w:t>8.1汇总结束后，评标委员会应当进行复核，特别要对拟推荐为中标候选投标人的、报价最低的、投标文件被认定为无效的进行重点复核。</w:t>
      </w:r>
    </w:p>
    <w:p w14:paraId="7B2126FC">
      <w:pPr>
        <w:adjustRightInd w:val="0"/>
        <w:snapToGrid w:val="0"/>
        <w:spacing w:before="161" w:beforeLines="50" w:line="360" w:lineRule="auto"/>
        <w:ind w:firstLine="420" w:firstLineChars="200"/>
        <w:jc w:val="left"/>
        <w:rPr>
          <w:rFonts w:hint="eastAsia" w:ascii="宋体" w:hAnsi="宋体" w:eastAsia="宋体" w:cs="宋体"/>
          <w:bCs/>
          <w:szCs w:val="21"/>
        </w:rPr>
      </w:pPr>
      <w:r>
        <w:rPr>
          <w:rFonts w:hint="eastAsia" w:ascii="宋体" w:hAnsi="宋体" w:eastAsia="宋体" w:cs="宋体"/>
          <w:bCs/>
          <w:szCs w:val="21"/>
        </w:rPr>
        <w:t>8.2汇总完成后，除下列情形外，任何人不得修改评标结果：</w:t>
      </w:r>
    </w:p>
    <w:p w14:paraId="41E199B1">
      <w:pPr>
        <w:adjustRightInd w:val="0"/>
        <w:snapToGrid w:val="0"/>
        <w:spacing w:before="161" w:beforeLines="50"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（1）分值汇总计算错误的；</w:t>
      </w:r>
    </w:p>
    <w:p w14:paraId="06D1F6CB">
      <w:pPr>
        <w:adjustRightInd w:val="0"/>
        <w:snapToGrid w:val="0"/>
        <w:spacing w:before="161" w:beforeLines="50"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（2）分项评分超出评分标准范围的；</w:t>
      </w:r>
    </w:p>
    <w:p w14:paraId="3FF574E8">
      <w:pPr>
        <w:adjustRightInd w:val="0"/>
        <w:snapToGrid w:val="0"/>
        <w:spacing w:before="161" w:beforeLines="50"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（3）评标委员会成员对客观评审因素评分不一致的；</w:t>
      </w:r>
    </w:p>
    <w:p w14:paraId="4692B3BC">
      <w:pPr>
        <w:adjustRightInd w:val="0"/>
        <w:snapToGrid w:val="0"/>
        <w:spacing w:before="161" w:beforeLines="50"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（4）经评标委员会认定评分畸高、畸低的。</w:t>
      </w:r>
    </w:p>
    <w:p w14:paraId="050609C5">
      <w:pPr>
        <w:adjustRightInd w:val="0"/>
        <w:snapToGrid w:val="0"/>
        <w:spacing w:before="161" w:beforeLines="50" w:line="360" w:lineRule="auto"/>
        <w:ind w:firstLine="420" w:firstLineChars="200"/>
        <w:jc w:val="left"/>
        <w:rPr>
          <w:rFonts w:hint="eastAsia" w:ascii="宋体" w:hAnsi="宋体" w:eastAsia="宋体" w:cs="宋体"/>
          <w:b/>
          <w:bCs/>
          <w:szCs w:val="21"/>
        </w:rPr>
      </w:pPr>
      <w:r>
        <w:rPr>
          <w:rFonts w:hint="eastAsia" w:ascii="宋体" w:hAnsi="宋体" w:eastAsia="宋体" w:cs="宋体"/>
          <w:bCs/>
          <w:szCs w:val="21"/>
        </w:rPr>
        <w:t>8.3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53B16F35">
      <w:pPr>
        <w:keepNext w:val="0"/>
        <w:keepLines w:val="0"/>
        <w:widowControl w:val="0"/>
        <w:adjustRightInd w:val="0"/>
        <w:snapToGrid w:val="0"/>
        <w:spacing w:before="161" w:beforeLines="50" w:after="0" w:line="360" w:lineRule="auto"/>
        <w:jc w:val="both"/>
        <w:outlineLvl w:val="2"/>
        <w:rPr>
          <w:rFonts w:hint="eastAsia" w:ascii="宋体" w:hAnsi="宋体" w:eastAsia="宋体" w:cs="宋体"/>
          <w:b/>
          <w:bCs w:val="0"/>
          <w:kern w:val="2"/>
          <w:sz w:val="24"/>
          <w:szCs w:val="24"/>
          <w:lang w:val="en-US" w:eastAsia="zh-CN" w:bidi="ar-SA"/>
        </w:rPr>
      </w:pPr>
      <w:bookmarkStart w:id="80" w:name="_Toc3690"/>
      <w:r>
        <w:rPr>
          <w:rFonts w:hint="eastAsia" w:ascii="宋体" w:hAnsi="宋体" w:eastAsia="宋体" w:cs="宋体"/>
          <w:b/>
          <w:bCs/>
          <w:kern w:val="2"/>
          <w:sz w:val="24"/>
          <w:szCs w:val="24"/>
          <w:lang w:val="en-US" w:eastAsia="zh-CN" w:bidi="ar-SA"/>
        </w:rPr>
        <w:t>9．</w:t>
      </w:r>
      <w:r>
        <w:rPr>
          <w:rFonts w:hint="eastAsia" w:ascii="宋体" w:hAnsi="宋体" w:eastAsia="宋体" w:cs="宋体"/>
          <w:b/>
          <w:bCs w:val="0"/>
          <w:kern w:val="2"/>
          <w:sz w:val="24"/>
          <w:szCs w:val="24"/>
          <w:lang w:val="en-US" w:eastAsia="zh-CN" w:bidi="ar-SA"/>
        </w:rPr>
        <w:t>停止评标</w:t>
      </w:r>
      <w:bookmarkEnd w:id="80"/>
    </w:p>
    <w:p w14:paraId="59041746">
      <w:pPr>
        <w:adjustRightInd w:val="0"/>
        <w:snapToGrid w:val="0"/>
        <w:spacing w:before="161" w:beforeLines="50" w:line="360" w:lineRule="auto"/>
        <w:ind w:firstLine="420" w:firstLineChars="200"/>
        <w:jc w:val="left"/>
        <w:rPr>
          <w:rFonts w:hint="eastAsia" w:ascii="宋体" w:hAnsi="宋体" w:eastAsia="宋体" w:cs="宋体"/>
          <w:kern w:val="0"/>
          <w:szCs w:val="21"/>
        </w:rPr>
      </w:pPr>
      <w:r>
        <w:rPr>
          <w:rFonts w:hint="eastAsia" w:ascii="宋体" w:hAnsi="宋体" w:eastAsia="宋体" w:cs="宋体"/>
          <w:bCs/>
          <w:szCs w:val="21"/>
        </w:rPr>
        <w:t>9.1</w:t>
      </w:r>
      <w:r>
        <w:rPr>
          <w:rFonts w:hint="eastAsia" w:ascii="宋体" w:hAnsi="宋体" w:eastAsia="宋体" w:cs="宋体"/>
          <w:kern w:val="0"/>
          <w:szCs w:val="21"/>
        </w:rPr>
        <w:t>评标委员会发现招标文件存在歧义、重大缺陷导致评标工作无法进行，或者招标文件内容违反国家有关强制性规定的，应当停止评标工作，与采购人、采购代理机构沟通并作书面记录。采购人、采购代理机构确认后，应当修改招标文件，重新组织采购活动。</w:t>
      </w:r>
    </w:p>
    <w:p w14:paraId="0CFDBC2A">
      <w:pPr>
        <w:adjustRightInd w:val="0"/>
        <w:snapToGrid w:val="0"/>
        <w:spacing w:before="161" w:beforeLines="50" w:line="360" w:lineRule="auto"/>
        <w:jc w:val="left"/>
        <w:rPr>
          <w:rFonts w:hint="eastAsia" w:ascii="宋体" w:hAnsi="宋体" w:eastAsia="宋体" w:cs="宋体"/>
          <w:b/>
          <w:sz w:val="24"/>
        </w:rPr>
      </w:pPr>
      <w:r>
        <w:rPr>
          <w:rFonts w:hint="eastAsia" w:ascii="宋体" w:hAnsi="宋体" w:eastAsia="宋体" w:cs="宋体"/>
          <w:b/>
          <w:sz w:val="24"/>
        </w:rPr>
        <w:t>10.废标</w:t>
      </w:r>
    </w:p>
    <w:p w14:paraId="7D2841AA">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10.1 根据有关法律法规和招标文件的有关规定，如出现下列情况之一的，应予以废标：</w:t>
      </w:r>
    </w:p>
    <w:p w14:paraId="0C6C0F9F">
      <w:pPr>
        <w:adjustRightInd w:val="0"/>
        <w:snapToGrid w:val="0"/>
        <w:spacing w:before="161" w:beforeLines="50" w:line="360" w:lineRule="auto"/>
        <w:ind w:firstLine="420" w:firstLineChars="200"/>
        <w:jc w:val="left"/>
        <w:rPr>
          <w:rFonts w:hint="eastAsia" w:ascii="宋体" w:hAnsi="宋体" w:eastAsia="宋体" w:cs="宋体"/>
          <w:szCs w:val="21"/>
        </w:rPr>
      </w:pPr>
      <w:bookmarkStart w:id="81" w:name="OLE_LINK208"/>
      <w:r>
        <w:rPr>
          <w:rFonts w:hint="eastAsia" w:ascii="宋体" w:hAnsi="宋体" w:eastAsia="宋体" w:cs="宋体"/>
          <w:szCs w:val="21"/>
        </w:rPr>
        <w:t>（1）</w:t>
      </w:r>
      <w:bookmarkStart w:id="82" w:name="OLE_LINK139"/>
      <w:r>
        <w:rPr>
          <w:rFonts w:hint="eastAsia" w:ascii="宋体" w:hAnsi="宋体" w:eastAsia="宋体" w:cs="宋体"/>
          <w:szCs w:val="21"/>
        </w:rPr>
        <w:t>符合专业条件的投标人或者对招标文件作实质响应的投标人不足三家的</w:t>
      </w:r>
      <w:bookmarkEnd w:id="82"/>
      <w:r>
        <w:rPr>
          <w:rFonts w:hint="eastAsia" w:ascii="宋体" w:hAnsi="宋体" w:eastAsia="宋体" w:cs="宋体"/>
          <w:szCs w:val="21"/>
        </w:rPr>
        <w:t>；</w:t>
      </w:r>
    </w:p>
    <w:bookmarkEnd w:id="81"/>
    <w:p w14:paraId="289FF9CA">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w:t>
      </w:r>
      <w:bookmarkStart w:id="83" w:name="OLE_LINK140"/>
      <w:bookmarkStart w:id="84" w:name="OLE_LINK209"/>
      <w:r>
        <w:rPr>
          <w:rFonts w:hint="eastAsia" w:ascii="宋体" w:hAnsi="宋体" w:eastAsia="宋体" w:cs="宋体"/>
          <w:szCs w:val="21"/>
        </w:rPr>
        <w:t>出现影响采购公正的违法、违规行为的</w:t>
      </w:r>
      <w:bookmarkEnd w:id="83"/>
      <w:r>
        <w:rPr>
          <w:rFonts w:hint="eastAsia" w:ascii="宋体" w:hAnsi="宋体" w:eastAsia="宋体" w:cs="宋体"/>
          <w:szCs w:val="21"/>
        </w:rPr>
        <w:t>；</w:t>
      </w:r>
      <w:bookmarkEnd w:id="84"/>
    </w:p>
    <w:p w14:paraId="1C3E889C">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w:t>
      </w:r>
      <w:bookmarkStart w:id="85" w:name="OLE_LINK141"/>
      <w:bookmarkStart w:id="86" w:name="OLE_LINK210"/>
      <w:r>
        <w:rPr>
          <w:rFonts w:hint="eastAsia" w:ascii="宋体" w:hAnsi="宋体" w:eastAsia="宋体" w:cs="宋体"/>
          <w:szCs w:val="21"/>
        </w:rPr>
        <w:t>投标人的报价均超过采购人项目采购预算，采购人不能支付的</w:t>
      </w:r>
      <w:bookmarkEnd w:id="85"/>
      <w:r>
        <w:rPr>
          <w:rFonts w:hint="eastAsia" w:ascii="宋体" w:hAnsi="宋体" w:eastAsia="宋体" w:cs="宋体"/>
          <w:szCs w:val="21"/>
        </w:rPr>
        <w:t>；</w:t>
      </w:r>
      <w:bookmarkEnd w:id="86"/>
    </w:p>
    <w:p w14:paraId="260B946D">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（4）</w:t>
      </w:r>
      <w:bookmarkStart w:id="87" w:name="OLE_LINK142"/>
      <w:bookmarkStart w:id="88" w:name="OLE_LINK211"/>
      <w:r>
        <w:rPr>
          <w:rFonts w:hint="eastAsia" w:ascii="宋体" w:hAnsi="宋体" w:eastAsia="宋体" w:cs="宋体"/>
          <w:szCs w:val="21"/>
        </w:rPr>
        <w:t>因重大变故，采购任务取消的</w:t>
      </w:r>
      <w:bookmarkEnd w:id="87"/>
      <w:r>
        <w:rPr>
          <w:rFonts w:hint="eastAsia" w:ascii="宋体" w:hAnsi="宋体" w:eastAsia="宋体" w:cs="宋体"/>
          <w:szCs w:val="21"/>
        </w:rPr>
        <w:t>。</w:t>
      </w:r>
      <w:bookmarkEnd w:id="88"/>
    </w:p>
    <w:p w14:paraId="2549E594">
      <w:pPr>
        <w:keepNext w:val="0"/>
        <w:keepLines w:val="0"/>
        <w:widowControl w:val="0"/>
        <w:adjustRightInd w:val="0"/>
        <w:snapToGrid w:val="0"/>
        <w:spacing w:before="161" w:beforeLines="50" w:after="0" w:line="360" w:lineRule="auto"/>
        <w:jc w:val="both"/>
        <w:outlineLvl w:val="2"/>
        <w:rPr>
          <w:rFonts w:hint="eastAsia" w:ascii="宋体" w:hAnsi="宋体" w:eastAsia="宋体" w:cs="宋体"/>
          <w:b/>
          <w:bCs w:val="0"/>
          <w:kern w:val="2"/>
          <w:sz w:val="24"/>
          <w:szCs w:val="24"/>
          <w:lang w:val="en-US" w:eastAsia="zh-CN" w:bidi="ar-SA"/>
        </w:rPr>
      </w:pPr>
      <w:bookmarkStart w:id="89" w:name="_Toc7406"/>
      <w:r>
        <w:rPr>
          <w:rFonts w:hint="eastAsia" w:ascii="宋体" w:hAnsi="宋体" w:eastAsia="宋体" w:cs="宋体"/>
          <w:b/>
          <w:bCs/>
          <w:kern w:val="0"/>
          <w:sz w:val="24"/>
          <w:szCs w:val="24"/>
          <w:lang w:val="en-US" w:eastAsia="zh-CN" w:bidi="ar-SA"/>
        </w:rPr>
        <w:t>11．重新组建评标委员会进行评标</w:t>
      </w:r>
      <w:bookmarkEnd w:id="89"/>
    </w:p>
    <w:p w14:paraId="1EF91949">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11.1评标委员会或者其成员存在下列情形导致评标结果无效的，采购人、采购代理机构可以重新组建评标委员会进行评标，并书面报告本级财政部门，但采购合同已经履行的除外：</w:t>
      </w:r>
    </w:p>
    <w:p w14:paraId="554BDA0A">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（1）评标委员会组成不符合《政府采购货物和服务招标投标管理办法》规定的；</w:t>
      </w:r>
    </w:p>
    <w:p w14:paraId="59F88746">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（2）有《政府采购货物和服务招标投标管理办法》第六十二条第一至五项情形的；</w:t>
      </w:r>
    </w:p>
    <w:p w14:paraId="2E6A79DF">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（3）评标委员会及其成员独立评标受到非法干预的；</w:t>
      </w:r>
    </w:p>
    <w:p w14:paraId="45D23A00">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（4）有政府采购法实施条例第七十五条规定的违法行为的。</w:t>
      </w:r>
    </w:p>
    <w:p w14:paraId="2D07F19C">
      <w:pPr>
        <w:adjustRightInd w:val="0"/>
        <w:snapToGrid w:val="0"/>
        <w:spacing w:before="161" w:beforeLines="50" w:line="360" w:lineRule="auto"/>
        <w:ind w:firstLine="420" w:firstLineChars="200"/>
        <w:jc w:val="left"/>
        <w:rPr>
          <w:rFonts w:hint="eastAsia" w:ascii="宋体" w:hAnsi="宋体" w:eastAsia="宋体" w:cs="宋体"/>
          <w:b/>
          <w:sz w:val="32"/>
          <w:szCs w:val="32"/>
        </w:rPr>
      </w:pPr>
      <w:r>
        <w:rPr>
          <w:rFonts w:hint="eastAsia" w:ascii="宋体" w:hAnsi="宋体" w:eastAsia="宋体" w:cs="宋体"/>
          <w:szCs w:val="21"/>
        </w:rPr>
        <w:t>11.2有违法违规行为的原评标委员会成员不得参加重新组建的评标委员会。</w:t>
      </w:r>
      <w:r>
        <w:rPr>
          <w:rFonts w:hint="eastAsia" w:ascii="宋体" w:hAnsi="宋体" w:eastAsia="宋体" w:cs="宋体"/>
          <w:b/>
          <w:sz w:val="32"/>
          <w:szCs w:val="32"/>
        </w:rPr>
        <w:br w:type="page"/>
      </w:r>
    </w:p>
    <w:p w14:paraId="24CCBED2">
      <w:pPr>
        <w:keepNext/>
        <w:keepLines/>
        <w:widowControl w:val="0"/>
        <w:adjustRightInd w:val="0"/>
        <w:snapToGrid w:val="0"/>
        <w:spacing w:line="360" w:lineRule="auto"/>
        <w:jc w:val="center"/>
        <w:outlineLvl w:val="1"/>
        <w:rPr>
          <w:rFonts w:hint="eastAsia" w:ascii="宋体" w:hAnsi="宋体" w:eastAsia="宋体" w:cs="宋体"/>
          <w:b/>
          <w:bCs/>
          <w:kern w:val="2"/>
          <w:sz w:val="28"/>
          <w:szCs w:val="28"/>
          <w:lang w:val="en-US" w:eastAsia="zh-CN" w:bidi="ar-SA"/>
        </w:rPr>
      </w:pPr>
      <w:bookmarkStart w:id="90" w:name="_Toc20717"/>
      <w:r>
        <w:rPr>
          <w:rFonts w:hint="eastAsia" w:ascii="宋体" w:hAnsi="宋体" w:eastAsia="宋体" w:cs="宋体"/>
          <w:b/>
          <w:bCs/>
          <w:kern w:val="2"/>
          <w:sz w:val="28"/>
          <w:szCs w:val="28"/>
          <w:lang w:val="en-US" w:eastAsia="zh-CN" w:bidi="ar-SA"/>
        </w:rPr>
        <w:t>第三节 投标文件的符合性审查</w:t>
      </w:r>
      <w:bookmarkEnd w:id="90"/>
    </w:p>
    <w:p w14:paraId="5DC14D43">
      <w:pPr>
        <w:adjustRightInd w:val="0"/>
        <w:snapToGrid w:val="0"/>
        <w:spacing w:before="161" w:beforeLines="50" w:line="360" w:lineRule="auto"/>
        <w:rPr>
          <w:rFonts w:hint="eastAsia" w:ascii="宋体" w:hAnsi="宋体" w:eastAsia="宋体" w:cs="宋体"/>
          <w:b/>
          <w:sz w:val="24"/>
        </w:rPr>
      </w:pPr>
      <w:r>
        <w:rPr>
          <w:rFonts w:hint="eastAsia" w:ascii="宋体" w:hAnsi="宋体" w:eastAsia="宋体" w:cs="宋体"/>
          <w:b/>
          <w:sz w:val="24"/>
        </w:rPr>
        <w:t>1.符合性审查</w:t>
      </w:r>
    </w:p>
    <w:p w14:paraId="5BBDEE69">
      <w:pPr>
        <w:adjustRightInd w:val="0"/>
        <w:snapToGrid w:val="0"/>
        <w:spacing w:before="161" w:beforeLines="50" w:line="360" w:lineRule="auto"/>
        <w:ind w:firstLine="420" w:firstLineChars="200"/>
        <w:rPr>
          <w:rFonts w:hint="eastAsia" w:ascii="宋体" w:hAnsi="宋体" w:eastAsia="宋体" w:cs="宋体"/>
        </w:rPr>
      </w:pPr>
      <w:r>
        <w:rPr>
          <w:rFonts w:hint="eastAsia" w:ascii="宋体" w:hAnsi="宋体" w:eastAsia="宋体" w:cs="宋体"/>
        </w:rPr>
        <w:t>1.1</w:t>
      </w:r>
      <w:r>
        <w:rPr>
          <w:rFonts w:hint="eastAsia" w:ascii="宋体" w:hAnsi="宋体" w:eastAsia="宋体" w:cs="宋体"/>
          <w:szCs w:val="21"/>
        </w:rPr>
        <w:t>评标委员会应按本章本节附表1“符合性审查表”所列审查项目及审查标准，</w:t>
      </w:r>
      <w:r>
        <w:rPr>
          <w:rFonts w:hint="eastAsia" w:ascii="宋体" w:hAnsi="宋体" w:eastAsia="宋体" w:cs="宋体"/>
        </w:rPr>
        <w:t>对符合资格条件的投标人的投标文件进行符合性审查，以确定其是否满足招标文件的实质性要求。</w:t>
      </w:r>
    </w:p>
    <w:p w14:paraId="207021A4">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依据招标文件的规定，从投标文件的有效性、完整性和对招标文件的响应程度进行审查，以确定是否对招标文件的实质性要求作出响应。评标委员会判断投标文件的响应性只根据投标文件的内容，而不依据外部的证据。</w:t>
      </w:r>
    </w:p>
    <w:p w14:paraId="08C74ED9">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（2）投标人不得通过修正或撤销不合要求的偏离从而使其投标成为实质上响应的投标。</w:t>
      </w:r>
    </w:p>
    <w:p w14:paraId="61288C22">
      <w:pPr>
        <w:adjustRightInd w:val="0"/>
        <w:snapToGrid w:val="0"/>
        <w:spacing w:before="161" w:beforeLines="50" w:line="360" w:lineRule="auto"/>
        <w:ind w:firstLine="420" w:firstLineChars="200"/>
        <w:jc w:val="left"/>
        <w:rPr>
          <w:rFonts w:hint="eastAsia" w:ascii="宋体" w:hAnsi="宋体" w:eastAsia="宋体" w:cs="宋体"/>
        </w:rPr>
      </w:pPr>
      <w:r>
        <w:rPr>
          <w:rFonts w:hint="eastAsia" w:ascii="宋体" w:hAnsi="宋体" w:eastAsia="宋体" w:cs="宋体"/>
          <w:kern w:val="0"/>
          <w:szCs w:val="21"/>
        </w:rPr>
        <w:t>1.2</w:t>
      </w:r>
      <w:r>
        <w:rPr>
          <w:rFonts w:hint="eastAsia" w:ascii="宋体" w:hAnsi="宋体" w:eastAsia="宋体" w:cs="宋体"/>
        </w:rPr>
        <w:t>未通过符合性审查的投标人，其投标将被认定为投标无效，不能进入下一阶段评审。通过符合性审查的投标人数量不足 3 家的，不得作进一步的比较和评价。</w:t>
      </w:r>
    </w:p>
    <w:p w14:paraId="6B94E21F">
      <w:pPr>
        <w:adjustRightInd w:val="0"/>
        <w:snapToGrid w:val="0"/>
        <w:spacing w:before="161" w:beforeLines="50" w:line="360" w:lineRule="auto"/>
        <w:jc w:val="left"/>
        <w:rPr>
          <w:rFonts w:hint="eastAsia" w:ascii="宋体" w:hAnsi="宋体" w:eastAsia="宋体" w:cs="宋体"/>
          <w:b/>
          <w:sz w:val="24"/>
        </w:rPr>
      </w:pPr>
      <w:r>
        <w:rPr>
          <w:rFonts w:hint="eastAsia" w:ascii="宋体" w:hAnsi="宋体" w:eastAsia="宋体" w:cs="宋体"/>
          <w:b/>
          <w:sz w:val="24"/>
        </w:rPr>
        <w:t>2.投标无效</w:t>
      </w:r>
    </w:p>
    <w:p w14:paraId="49B39D12">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2.1投标人存在下列情况之一的，符合性审查不合格，投标无效：</w:t>
      </w:r>
    </w:p>
    <w:p w14:paraId="0A9DA544">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（1）投标文件中商务技术文件未按照招标文件规定要求签署、盖章的；</w:t>
      </w:r>
    </w:p>
    <w:p w14:paraId="5CD9E07E">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（2）投标文件没有对招标文件的实质性要求和条件作出响应，或者对招标文件的偏离超出招标文件规定的偏离</w:t>
      </w:r>
      <w:r>
        <w:rPr>
          <w:rFonts w:hint="eastAsia" w:ascii="宋体" w:hAnsi="宋体" w:eastAsia="宋体" w:cs="宋体"/>
        </w:rPr>
        <w:t>范围和幅度</w:t>
      </w:r>
      <w:r>
        <w:rPr>
          <w:rFonts w:hint="eastAsia" w:ascii="宋体" w:hAnsi="宋体" w:eastAsia="宋体" w:cs="宋体"/>
          <w:szCs w:val="21"/>
        </w:rPr>
        <w:t>；</w:t>
      </w:r>
    </w:p>
    <w:p w14:paraId="2D8623DB">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（3）投标有效期不足的；</w:t>
      </w:r>
    </w:p>
    <w:p w14:paraId="0E1A597C">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（4）投标文件含有采购人不能接受的附加条件的；</w:t>
      </w:r>
    </w:p>
    <w:p w14:paraId="23E7A41E">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（5）不符合本节第1.1款规定符合性审查标准的；</w:t>
      </w:r>
    </w:p>
    <w:p w14:paraId="088FE3F9">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（6）法律、法规和招标文件规定的其他投标无效情形的。</w:t>
      </w:r>
    </w:p>
    <w:p w14:paraId="13298F77">
      <w:pPr>
        <w:adjustRightInd w:val="0"/>
        <w:snapToGrid w:val="0"/>
        <w:spacing w:before="161" w:beforeLines="50"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2.2在评标过程中发现投标人有不遵循公平竞争的原则，恶意串通，妨碍其他投标人的竞争行为，损害采购人或者其他投标人的合法权益的，评标委员会应当认定其</w:t>
      </w:r>
      <w:r>
        <w:rPr>
          <w:rFonts w:hint="eastAsia" w:ascii="宋体" w:hAnsi="宋体" w:eastAsia="宋体" w:cs="宋体"/>
          <w:b/>
          <w:kern w:val="0"/>
          <w:szCs w:val="21"/>
        </w:rPr>
        <w:t>投标无效</w:t>
      </w:r>
      <w:r>
        <w:rPr>
          <w:rFonts w:hint="eastAsia" w:ascii="宋体" w:hAnsi="宋体" w:eastAsia="宋体" w:cs="宋体"/>
          <w:kern w:val="0"/>
          <w:szCs w:val="21"/>
        </w:rPr>
        <w:t>，并书面报告本级财政部门。</w:t>
      </w:r>
    </w:p>
    <w:p w14:paraId="3C719110">
      <w:pPr>
        <w:rPr>
          <w:rFonts w:hint="eastAsia" w:ascii="宋体" w:hAnsi="宋体" w:eastAsia="宋体" w:cs="宋体"/>
        </w:rPr>
      </w:pPr>
    </w:p>
    <w:p w14:paraId="6BD6DB91">
      <w:pPr>
        <w:rPr>
          <w:rFonts w:hint="eastAsia" w:ascii="宋体" w:hAnsi="宋体" w:eastAsia="宋体" w:cs="宋体"/>
        </w:rPr>
      </w:pPr>
    </w:p>
    <w:p w14:paraId="2CB231D4">
      <w:pPr>
        <w:widowControl/>
        <w:jc w:val="left"/>
        <w:rPr>
          <w:rFonts w:hint="eastAsia" w:ascii="宋体" w:hAnsi="宋体" w:eastAsia="宋体" w:cs="宋体"/>
          <w:b/>
          <w:szCs w:val="21"/>
        </w:rPr>
      </w:pPr>
      <w:r>
        <w:rPr>
          <w:rFonts w:hint="eastAsia" w:ascii="宋体" w:hAnsi="宋体" w:eastAsia="宋体" w:cs="宋体"/>
          <w:b/>
          <w:szCs w:val="21"/>
        </w:rPr>
        <w:br w:type="page"/>
      </w:r>
    </w:p>
    <w:p w14:paraId="4B2E5813">
      <w:pPr>
        <w:keepNext/>
        <w:keepLines/>
        <w:widowControl w:val="0"/>
        <w:adjustRightInd w:val="0"/>
        <w:snapToGrid w:val="0"/>
        <w:spacing w:before="161" w:beforeLines="50" w:after="0" w:line="360" w:lineRule="auto"/>
        <w:jc w:val="both"/>
        <w:outlineLvl w:val="2"/>
        <w:rPr>
          <w:rFonts w:hint="eastAsia" w:ascii="宋体" w:hAnsi="宋体" w:eastAsia="宋体" w:cs="宋体"/>
          <w:b/>
          <w:bCs/>
          <w:kern w:val="2"/>
          <w:sz w:val="21"/>
          <w:szCs w:val="21"/>
          <w:lang w:val="en-US" w:eastAsia="zh-CN" w:bidi="ar-SA"/>
        </w:rPr>
      </w:pPr>
      <w:bookmarkStart w:id="91" w:name="_Toc15295"/>
      <w:r>
        <w:rPr>
          <w:rFonts w:hint="eastAsia" w:ascii="宋体" w:hAnsi="宋体" w:eastAsia="宋体" w:cs="宋体"/>
          <w:b/>
          <w:bCs/>
          <w:kern w:val="2"/>
          <w:sz w:val="21"/>
          <w:szCs w:val="21"/>
          <w:lang w:val="en-US" w:eastAsia="zh-CN" w:bidi="ar-SA"/>
        </w:rPr>
        <w:t>附表1 符合性审查表</w:t>
      </w:r>
      <w:bookmarkEnd w:id="91"/>
    </w:p>
    <w:p w14:paraId="4BF5A45F">
      <w:pPr>
        <w:adjustRightInd w:val="0"/>
        <w:snapToGrid w:val="0"/>
        <w:spacing w:before="161" w:beforeLines="50" w:line="360" w:lineRule="auto"/>
        <w:jc w:val="center"/>
        <w:rPr>
          <w:rFonts w:hint="eastAsia" w:ascii="宋体" w:hAnsi="宋体" w:eastAsia="宋体" w:cs="宋体"/>
          <w:b/>
          <w:sz w:val="28"/>
          <w:szCs w:val="28"/>
        </w:rPr>
      </w:pPr>
      <w:r>
        <w:rPr>
          <w:rFonts w:hint="eastAsia" w:ascii="宋体" w:hAnsi="宋体" w:eastAsia="宋体" w:cs="宋体"/>
          <w:b/>
          <w:sz w:val="28"/>
          <w:szCs w:val="28"/>
        </w:rPr>
        <w:t>符合性审查表</w:t>
      </w:r>
    </w:p>
    <w:p w14:paraId="29AFB7B1">
      <w:pPr>
        <w:adjustRightInd w:val="0"/>
        <w:snapToGrid w:val="0"/>
        <w:spacing w:before="161" w:beforeLines="50" w:line="360" w:lineRule="auto"/>
        <w:rPr>
          <w:rFonts w:hint="eastAsia" w:ascii="宋体" w:hAnsi="宋体" w:eastAsia="宋体" w:cs="宋体"/>
          <w:szCs w:val="21"/>
        </w:rPr>
      </w:pPr>
      <w:r>
        <w:rPr>
          <w:rFonts w:hint="eastAsia" w:ascii="宋体" w:hAnsi="宋体" w:eastAsia="宋体" w:cs="宋体"/>
          <w:szCs w:val="21"/>
        </w:rPr>
        <w:t xml:space="preserve">项目名称：                                           采购代理编号： </w:t>
      </w:r>
    </w:p>
    <w:tbl>
      <w:tblPr>
        <w:tblStyle w:val="3"/>
        <w:tblW w:w="90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83"/>
        <w:gridCol w:w="2686"/>
        <w:gridCol w:w="5691"/>
      </w:tblGrid>
      <w:tr w14:paraId="5A5E57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683" w:type="dxa"/>
            <w:tcBorders>
              <w:tl2br w:val="nil"/>
              <w:tr2bl w:val="nil"/>
            </w:tcBorders>
            <w:vAlign w:val="center"/>
          </w:tcPr>
          <w:p w14:paraId="5526B959">
            <w:pPr>
              <w:adjustRightInd w:val="0"/>
              <w:snapToGrid w:val="0"/>
              <w:spacing w:before="161" w:beforeLines="50" w:line="360" w:lineRule="auto"/>
              <w:jc w:val="center"/>
              <w:rPr>
                <w:rFonts w:hint="eastAsia" w:ascii="宋体" w:hAnsi="宋体" w:eastAsia="宋体" w:cs="宋体"/>
                <w:b/>
                <w:kern w:val="0"/>
                <w:szCs w:val="21"/>
              </w:rPr>
            </w:pPr>
            <w:r>
              <w:rPr>
                <w:rFonts w:hint="eastAsia" w:ascii="宋体" w:hAnsi="宋体" w:eastAsia="宋体" w:cs="宋体"/>
                <w:b/>
                <w:kern w:val="0"/>
                <w:szCs w:val="21"/>
              </w:rPr>
              <w:t>序号</w:t>
            </w:r>
          </w:p>
        </w:tc>
        <w:tc>
          <w:tcPr>
            <w:tcW w:w="2686" w:type="dxa"/>
            <w:tcBorders>
              <w:tl2br w:val="nil"/>
              <w:tr2bl w:val="nil"/>
            </w:tcBorders>
            <w:vAlign w:val="center"/>
          </w:tcPr>
          <w:p w14:paraId="49A16013">
            <w:pPr>
              <w:adjustRightInd w:val="0"/>
              <w:snapToGrid w:val="0"/>
              <w:spacing w:before="161" w:beforeLines="50" w:line="360" w:lineRule="auto"/>
              <w:jc w:val="center"/>
              <w:rPr>
                <w:rFonts w:hint="eastAsia" w:ascii="宋体" w:hAnsi="宋体" w:eastAsia="宋体" w:cs="宋体"/>
                <w:b/>
                <w:kern w:val="0"/>
                <w:szCs w:val="21"/>
              </w:rPr>
            </w:pPr>
            <w:r>
              <w:rPr>
                <w:rFonts w:hint="eastAsia" w:ascii="宋体" w:hAnsi="宋体" w:eastAsia="宋体" w:cs="宋体"/>
                <w:b/>
                <w:kern w:val="0"/>
                <w:szCs w:val="21"/>
              </w:rPr>
              <w:t>审查项目</w:t>
            </w:r>
          </w:p>
        </w:tc>
        <w:tc>
          <w:tcPr>
            <w:tcW w:w="5691" w:type="dxa"/>
            <w:tcBorders>
              <w:tl2br w:val="nil"/>
              <w:tr2bl w:val="nil"/>
            </w:tcBorders>
            <w:vAlign w:val="center"/>
          </w:tcPr>
          <w:p w14:paraId="4EEFA373">
            <w:pPr>
              <w:adjustRightInd w:val="0"/>
              <w:snapToGrid w:val="0"/>
              <w:spacing w:before="161" w:beforeLines="50" w:line="360" w:lineRule="auto"/>
              <w:jc w:val="center"/>
              <w:rPr>
                <w:rFonts w:hint="eastAsia" w:ascii="宋体" w:hAnsi="宋体" w:eastAsia="宋体" w:cs="宋体"/>
                <w:b/>
                <w:kern w:val="0"/>
                <w:szCs w:val="21"/>
              </w:rPr>
            </w:pPr>
            <w:r>
              <w:rPr>
                <w:rFonts w:hint="eastAsia" w:ascii="宋体" w:hAnsi="宋体" w:eastAsia="宋体" w:cs="宋体"/>
                <w:b/>
                <w:kern w:val="0"/>
                <w:szCs w:val="21"/>
              </w:rPr>
              <w:t>审查标准</w:t>
            </w:r>
          </w:p>
        </w:tc>
      </w:tr>
      <w:tr w14:paraId="6D257E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83" w:type="dxa"/>
            <w:tcBorders>
              <w:tl2br w:val="nil"/>
              <w:tr2bl w:val="nil"/>
            </w:tcBorders>
            <w:vAlign w:val="center"/>
          </w:tcPr>
          <w:p w14:paraId="705D47AB">
            <w:pPr>
              <w:adjustRightInd w:val="0"/>
              <w:snapToGrid w:val="0"/>
              <w:spacing w:before="161" w:beforeLines="50" w:line="360" w:lineRule="auto"/>
              <w:jc w:val="center"/>
              <w:rPr>
                <w:rFonts w:hint="eastAsia" w:ascii="宋体" w:hAnsi="宋体" w:eastAsia="宋体" w:cs="宋体"/>
                <w:kern w:val="0"/>
                <w:szCs w:val="21"/>
              </w:rPr>
            </w:pPr>
            <w:r>
              <w:rPr>
                <w:rFonts w:hint="eastAsia" w:ascii="宋体" w:hAnsi="宋体" w:eastAsia="宋体" w:cs="宋体"/>
                <w:kern w:val="0"/>
                <w:szCs w:val="21"/>
              </w:rPr>
              <w:t>1</w:t>
            </w:r>
          </w:p>
        </w:tc>
        <w:tc>
          <w:tcPr>
            <w:tcW w:w="2686" w:type="dxa"/>
            <w:tcBorders>
              <w:tl2br w:val="nil"/>
              <w:tr2bl w:val="nil"/>
            </w:tcBorders>
            <w:vAlign w:val="center"/>
          </w:tcPr>
          <w:p w14:paraId="45936687">
            <w:pPr>
              <w:spacing w:line="360" w:lineRule="auto"/>
              <w:rPr>
                <w:rFonts w:hint="eastAsia" w:ascii="宋体" w:hAnsi="宋体" w:eastAsia="宋体" w:cs="宋体"/>
                <w:kern w:val="0"/>
                <w:szCs w:val="21"/>
              </w:rPr>
            </w:pPr>
            <w:bookmarkStart w:id="92" w:name="OLE_LINK119"/>
            <w:r>
              <w:rPr>
                <w:rFonts w:hint="eastAsia" w:ascii="宋体" w:hAnsi="宋体" w:eastAsia="宋体" w:cs="宋体"/>
              </w:rPr>
              <w:t>投标文件的签署、盖章</w:t>
            </w:r>
            <w:bookmarkEnd w:id="92"/>
          </w:p>
        </w:tc>
        <w:tc>
          <w:tcPr>
            <w:tcW w:w="5691" w:type="dxa"/>
            <w:tcBorders>
              <w:tl2br w:val="nil"/>
              <w:tr2bl w:val="nil"/>
            </w:tcBorders>
            <w:vAlign w:val="center"/>
          </w:tcPr>
          <w:p w14:paraId="42D1292D">
            <w:pPr>
              <w:spacing w:line="360" w:lineRule="auto"/>
              <w:rPr>
                <w:rFonts w:hint="eastAsia" w:ascii="宋体" w:hAnsi="宋体" w:eastAsia="宋体" w:cs="宋体"/>
                <w:kern w:val="0"/>
                <w:szCs w:val="21"/>
              </w:rPr>
            </w:pPr>
            <w:bookmarkStart w:id="93" w:name="OLE_LINK120"/>
            <w:r>
              <w:rPr>
                <w:rFonts w:hint="eastAsia" w:ascii="宋体" w:hAnsi="宋体" w:eastAsia="宋体" w:cs="宋体"/>
              </w:rPr>
              <w:t>投标文件中商务技术文件未按照招标文件规定要求签署、盖 章的，其符合性审查不合格。</w:t>
            </w:r>
            <w:bookmarkEnd w:id="93"/>
          </w:p>
        </w:tc>
      </w:tr>
      <w:tr w14:paraId="160796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83" w:type="dxa"/>
            <w:tcBorders>
              <w:tl2br w:val="nil"/>
              <w:tr2bl w:val="nil"/>
            </w:tcBorders>
            <w:vAlign w:val="center"/>
          </w:tcPr>
          <w:p w14:paraId="52828922">
            <w:pPr>
              <w:adjustRightInd w:val="0"/>
              <w:snapToGrid w:val="0"/>
              <w:spacing w:before="161" w:beforeLines="50" w:line="360" w:lineRule="auto"/>
              <w:jc w:val="center"/>
              <w:rPr>
                <w:rFonts w:hint="eastAsia" w:ascii="宋体" w:hAnsi="宋体" w:eastAsia="宋体" w:cs="宋体"/>
                <w:kern w:val="0"/>
                <w:szCs w:val="21"/>
              </w:rPr>
            </w:pPr>
            <w:r>
              <w:rPr>
                <w:rFonts w:hint="eastAsia" w:ascii="宋体" w:hAnsi="宋体" w:eastAsia="宋体" w:cs="宋体"/>
                <w:kern w:val="0"/>
                <w:szCs w:val="21"/>
              </w:rPr>
              <w:t>2</w:t>
            </w:r>
          </w:p>
        </w:tc>
        <w:tc>
          <w:tcPr>
            <w:tcW w:w="2686" w:type="dxa"/>
            <w:tcBorders>
              <w:tl2br w:val="nil"/>
              <w:tr2bl w:val="nil"/>
            </w:tcBorders>
            <w:vAlign w:val="center"/>
          </w:tcPr>
          <w:p w14:paraId="74D3CB1E">
            <w:pPr>
              <w:spacing w:line="360" w:lineRule="auto"/>
              <w:rPr>
                <w:rFonts w:hint="eastAsia" w:ascii="宋体" w:hAnsi="宋体" w:eastAsia="宋体" w:cs="宋体"/>
                <w:kern w:val="0"/>
                <w:szCs w:val="21"/>
              </w:rPr>
            </w:pPr>
            <w:bookmarkStart w:id="94" w:name="OLE_LINK121"/>
            <w:r>
              <w:rPr>
                <w:rFonts w:hint="eastAsia" w:ascii="宋体" w:hAnsi="宋体" w:eastAsia="宋体" w:cs="宋体"/>
              </w:rPr>
              <w:t>对招标文件条款的响应</w:t>
            </w:r>
            <w:bookmarkEnd w:id="94"/>
          </w:p>
        </w:tc>
        <w:tc>
          <w:tcPr>
            <w:tcW w:w="5691" w:type="dxa"/>
            <w:tcBorders>
              <w:tl2br w:val="nil"/>
              <w:tr2bl w:val="nil"/>
            </w:tcBorders>
            <w:vAlign w:val="center"/>
          </w:tcPr>
          <w:p w14:paraId="7C244212">
            <w:pPr>
              <w:spacing w:line="360" w:lineRule="auto"/>
              <w:rPr>
                <w:rFonts w:hint="eastAsia" w:ascii="宋体" w:hAnsi="宋体" w:eastAsia="宋体" w:cs="宋体"/>
                <w:kern w:val="0"/>
                <w:szCs w:val="21"/>
              </w:rPr>
            </w:pPr>
            <w:bookmarkStart w:id="95" w:name="OLE_LINK122"/>
            <w:r>
              <w:rPr>
                <w:rFonts w:hint="eastAsia" w:ascii="宋体" w:hAnsi="宋体" w:eastAsia="宋体" w:cs="宋体"/>
              </w:rPr>
              <w:t>投标文件没有对招标文件的实质性要求和条件作出响应，或 者对招标文件的偏离超出招标文件规定的偏离范围和幅度的，其符合性审查不合格。</w:t>
            </w:r>
            <w:bookmarkEnd w:id="95"/>
          </w:p>
        </w:tc>
      </w:tr>
      <w:tr w14:paraId="38A8B5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83" w:type="dxa"/>
            <w:tcBorders>
              <w:tl2br w:val="nil"/>
              <w:tr2bl w:val="nil"/>
            </w:tcBorders>
            <w:vAlign w:val="center"/>
          </w:tcPr>
          <w:p w14:paraId="3C1C6D92">
            <w:pPr>
              <w:adjustRightInd w:val="0"/>
              <w:snapToGrid w:val="0"/>
              <w:spacing w:before="161" w:beforeLines="50" w:line="360" w:lineRule="auto"/>
              <w:jc w:val="center"/>
              <w:rPr>
                <w:rFonts w:hint="eastAsia" w:ascii="宋体" w:hAnsi="宋体" w:eastAsia="宋体" w:cs="宋体"/>
                <w:kern w:val="0"/>
                <w:szCs w:val="21"/>
              </w:rPr>
            </w:pPr>
            <w:r>
              <w:rPr>
                <w:rFonts w:hint="eastAsia" w:ascii="宋体" w:hAnsi="宋体" w:eastAsia="宋体" w:cs="宋体"/>
                <w:kern w:val="0"/>
                <w:szCs w:val="21"/>
              </w:rPr>
              <w:t>3</w:t>
            </w:r>
          </w:p>
        </w:tc>
        <w:tc>
          <w:tcPr>
            <w:tcW w:w="2686" w:type="dxa"/>
            <w:tcBorders>
              <w:tl2br w:val="nil"/>
              <w:tr2bl w:val="nil"/>
            </w:tcBorders>
            <w:vAlign w:val="center"/>
          </w:tcPr>
          <w:p w14:paraId="29A43CBA">
            <w:pPr>
              <w:spacing w:line="360" w:lineRule="auto"/>
              <w:rPr>
                <w:rFonts w:hint="eastAsia" w:ascii="宋体" w:hAnsi="宋体" w:eastAsia="宋体" w:cs="宋体"/>
                <w:kern w:val="0"/>
                <w:szCs w:val="21"/>
              </w:rPr>
            </w:pPr>
            <w:bookmarkStart w:id="96" w:name="OLE_LINK123"/>
            <w:r>
              <w:rPr>
                <w:rFonts w:hint="eastAsia" w:ascii="宋体" w:hAnsi="宋体" w:eastAsia="宋体" w:cs="宋体"/>
              </w:rPr>
              <w:t>投标有效期</w:t>
            </w:r>
            <w:bookmarkEnd w:id="96"/>
          </w:p>
        </w:tc>
        <w:tc>
          <w:tcPr>
            <w:tcW w:w="5691" w:type="dxa"/>
            <w:tcBorders>
              <w:tl2br w:val="nil"/>
              <w:tr2bl w:val="nil"/>
            </w:tcBorders>
            <w:vAlign w:val="center"/>
          </w:tcPr>
          <w:p w14:paraId="1CBA7860">
            <w:pPr>
              <w:spacing w:line="360" w:lineRule="auto"/>
              <w:rPr>
                <w:rFonts w:hint="eastAsia" w:ascii="宋体" w:hAnsi="宋体" w:eastAsia="宋体" w:cs="宋体"/>
                <w:kern w:val="0"/>
                <w:szCs w:val="21"/>
              </w:rPr>
            </w:pPr>
            <w:bookmarkStart w:id="97" w:name="OLE_LINK124"/>
            <w:r>
              <w:rPr>
                <w:rFonts w:hint="eastAsia" w:ascii="宋体" w:hAnsi="宋体" w:eastAsia="宋体" w:cs="宋体"/>
              </w:rPr>
              <w:t>投标有效期不足的，其符合性审查不合格。</w:t>
            </w:r>
            <w:bookmarkEnd w:id="97"/>
          </w:p>
        </w:tc>
      </w:tr>
      <w:tr w14:paraId="10DF19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683" w:type="dxa"/>
            <w:tcBorders>
              <w:tl2br w:val="nil"/>
              <w:tr2bl w:val="nil"/>
            </w:tcBorders>
            <w:vAlign w:val="center"/>
          </w:tcPr>
          <w:p w14:paraId="3B40D857">
            <w:pPr>
              <w:adjustRightInd w:val="0"/>
              <w:snapToGrid w:val="0"/>
              <w:spacing w:before="161" w:beforeLines="50" w:line="360" w:lineRule="auto"/>
              <w:jc w:val="center"/>
              <w:rPr>
                <w:rFonts w:hint="eastAsia" w:ascii="宋体" w:hAnsi="宋体" w:eastAsia="宋体" w:cs="宋体"/>
                <w:kern w:val="0"/>
                <w:szCs w:val="21"/>
              </w:rPr>
            </w:pPr>
            <w:r>
              <w:rPr>
                <w:rFonts w:hint="eastAsia" w:ascii="宋体" w:hAnsi="宋体" w:eastAsia="宋体" w:cs="宋体"/>
                <w:kern w:val="0"/>
                <w:szCs w:val="21"/>
              </w:rPr>
              <w:t>4</w:t>
            </w:r>
          </w:p>
        </w:tc>
        <w:tc>
          <w:tcPr>
            <w:tcW w:w="2686" w:type="dxa"/>
            <w:tcBorders>
              <w:tl2br w:val="nil"/>
              <w:tr2bl w:val="nil"/>
            </w:tcBorders>
            <w:vAlign w:val="center"/>
          </w:tcPr>
          <w:p w14:paraId="41B85B5F">
            <w:pPr>
              <w:spacing w:line="360" w:lineRule="auto"/>
              <w:rPr>
                <w:rFonts w:hint="eastAsia" w:ascii="宋体" w:hAnsi="宋体" w:eastAsia="宋体" w:cs="宋体"/>
                <w:kern w:val="0"/>
                <w:szCs w:val="21"/>
              </w:rPr>
            </w:pPr>
            <w:bookmarkStart w:id="98" w:name="OLE_LINK125"/>
            <w:r>
              <w:rPr>
                <w:rFonts w:hint="eastAsia" w:ascii="宋体" w:hAnsi="宋体" w:eastAsia="宋体" w:cs="宋体"/>
              </w:rPr>
              <w:t>附加条件</w:t>
            </w:r>
            <w:bookmarkEnd w:id="98"/>
          </w:p>
        </w:tc>
        <w:tc>
          <w:tcPr>
            <w:tcW w:w="5691" w:type="dxa"/>
            <w:tcBorders>
              <w:tl2br w:val="nil"/>
              <w:tr2bl w:val="nil"/>
            </w:tcBorders>
            <w:vAlign w:val="center"/>
          </w:tcPr>
          <w:p w14:paraId="58961637">
            <w:pPr>
              <w:spacing w:line="360" w:lineRule="auto"/>
              <w:rPr>
                <w:rFonts w:hint="eastAsia" w:ascii="宋体" w:hAnsi="宋体" w:eastAsia="宋体" w:cs="宋体"/>
                <w:kern w:val="0"/>
                <w:szCs w:val="21"/>
              </w:rPr>
            </w:pPr>
            <w:bookmarkStart w:id="99" w:name="OLE_LINK126"/>
            <w:r>
              <w:rPr>
                <w:rFonts w:hint="eastAsia" w:ascii="宋体" w:hAnsi="宋体" w:eastAsia="宋体" w:cs="宋体"/>
              </w:rPr>
              <w:t>投标文件含有采购人不能接受的附加条件的，其符合性审查 不合格。</w:t>
            </w:r>
            <w:bookmarkEnd w:id="99"/>
          </w:p>
        </w:tc>
      </w:tr>
      <w:tr w14:paraId="4045D6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83" w:type="dxa"/>
            <w:tcBorders>
              <w:tl2br w:val="nil"/>
              <w:tr2bl w:val="nil"/>
            </w:tcBorders>
            <w:vAlign w:val="center"/>
          </w:tcPr>
          <w:p w14:paraId="59E1C49F">
            <w:pPr>
              <w:adjustRightInd w:val="0"/>
              <w:snapToGrid w:val="0"/>
              <w:spacing w:before="161" w:beforeLines="50" w:line="360" w:lineRule="auto"/>
              <w:jc w:val="center"/>
              <w:rPr>
                <w:rFonts w:hint="eastAsia" w:ascii="宋体" w:hAnsi="宋体" w:eastAsia="宋体" w:cs="宋体"/>
                <w:kern w:val="0"/>
                <w:szCs w:val="21"/>
              </w:rPr>
            </w:pPr>
            <w:r>
              <w:rPr>
                <w:rFonts w:hint="eastAsia" w:ascii="宋体" w:hAnsi="宋体" w:eastAsia="宋体" w:cs="宋体"/>
                <w:kern w:val="0"/>
                <w:szCs w:val="21"/>
              </w:rPr>
              <w:t>5</w:t>
            </w:r>
          </w:p>
        </w:tc>
        <w:tc>
          <w:tcPr>
            <w:tcW w:w="2686" w:type="dxa"/>
            <w:tcBorders>
              <w:tl2br w:val="nil"/>
              <w:tr2bl w:val="nil"/>
            </w:tcBorders>
            <w:vAlign w:val="center"/>
          </w:tcPr>
          <w:p w14:paraId="4540FD66">
            <w:pPr>
              <w:spacing w:line="360" w:lineRule="auto"/>
              <w:rPr>
                <w:rFonts w:hint="eastAsia" w:ascii="宋体" w:hAnsi="宋体" w:eastAsia="宋体" w:cs="宋体"/>
                <w:kern w:val="0"/>
                <w:szCs w:val="21"/>
              </w:rPr>
            </w:pPr>
            <w:bookmarkStart w:id="100" w:name="OLE_LINK127"/>
            <w:r>
              <w:rPr>
                <w:rFonts w:hint="eastAsia" w:ascii="宋体" w:hAnsi="宋体" w:eastAsia="宋体" w:cs="宋体"/>
              </w:rPr>
              <w:t>其他情形</w:t>
            </w:r>
            <w:bookmarkEnd w:id="100"/>
          </w:p>
        </w:tc>
        <w:tc>
          <w:tcPr>
            <w:tcW w:w="5691" w:type="dxa"/>
            <w:tcBorders>
              <w:tl2br w:val="nil"/>
              <w:tr2bl w:val="nil"/>
            </w:tcBorders>
            <w:vAlign w:val="center"/>
          </w:tcPr>
          <w:p w14:paraId="694612A3">
            <w:pPr>
              <w:spacing w:line="360" w:lineRule="auto"/>
              <w:rPr>
                <w:rFonts w:hint="eastAsia" w:ascii="宋体" w:hAnsi="宋体" w:eastAsia="宋体" w:cs="宋体"/>
                <w:kern w:val="0"/>
                <w:szCs w:val="21"/>
              </w:rPr>
            </w:pPr>
            <w:bookmarkStart w:id="101" w:name="OLE_LINK128"/>
            <w:r>
              <w:rPr>
                <w:rFonts w:hint="eastAsia" w:ascii="宋体" w:hAnsi="宋体" w:eastAsia="宋体" w:cs="宋体"/>
              </w:rPr>
              <w:t>存在不符合本章第三节第 1.1 款规定符合性审查标准的，或者法律、法规和招标文件规定的其他投标无效情形的，其符 合性审查不合格。</w:t>
            </w:r>
            <w:bookmarkEnd w:id="101"/>
          </w:p>
        </w:tc>
      </w:tr>
      <w:tr w14:paraId="7CF8DE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83" w:type="dxa"/>
            <w:tcBorders>
              <w:tl2br w:val="nil"/>
              <w:tr2bl w:val="nil"/>
            </w:tcBorders>
            <w:vAlign w:val="center"/>
          </w:tcPr>
          <w:p w14:paraId="52382ED5">
            <w:pPr>
              <w:adjustRightInd w:val="0"/>
              <w:snapToGrid w:val="0"/>
              <w:spacing w:before="161" w:beforeLines="50" w:line="360" w:lineRule="auto"/>
              <w:jc w:val="center"/>
              <w:rPr>
                <w:rFonts w:hint="eastAsia" w:ascii="宋体" w:hAnsi="宋体" w:eastAsia="宋体" w:cs="宋体"/>
                <w:kern w:val="0"/>
                <w:sz w:val="20"/>
                <w:szCs w:val="21"/>
              </w:rPr>
            </w:pPr>
            <w:r>
              <w:rPr>
                <w:rFonts w:hint="eastAsia" w:ascii="宋体" w:hAnsi="宋体" w:eastAsia="宋体" w:cs="宋体"/>
                <w:kern w:val="0"/>
                <w:sz w:val="20"/>
                <w:szCs w:val="21"/>
              </w:rPr>
              <w:t>结论</w:t>
            </w:r>
          </w:p>
        </w:tc>
        <w:tc>
          <w:tcPr>
            <w:tcW w:w="8377" w:type="dxa"/>
            <w:gridSpan w:val="2"/>
            <w:tcBorders>
              <w:tl2br w:val="nil"/>
              <w:tr2bl w:val="nil"/>
            </w:tcBorders>
            <w:vAlign w:val="center"/>
          </w:tcPr>
          <w:p w14:paraId="50699152">
            <w:pPr>
              <w:adjustRightInd w:val="0"/>
              <w:snapToGrid w:val="0"/>
              <w:spacing w:before="161" w:beforeLines="50" w:line="360" w:lineRule="auto"/>
              <w:jc w:val="center"/>
              <w:rPr>
                <w:rFonts w:hint="eastAsia" w:ascii="宋体" w:hAnsi="宋体" w:eastAsia="宋体" w:cs="宋体"/>
                <w:kern w:val="0"/>
                <w:sz w:val="20"/>
                <w:szCs w:val="21"/>
              </w:rPr>
            </w:pPr>
          </w:p>
        </w:tc>
      </w:tr>
    </w:tbl>
    <w:p w14:paraId="728AA996">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 xml:space="preserve"> </w:t>
      </w:r>
    </w:p>
    <w:p w14:paraId="4C98CF82">
      <w:pPr>
        <w:widowControl/>
        <w:jc w:val="left"/>
        <w:rPr>
          <w:rFonts w:hint="eastAsia" w:ascii="宋体" w:hAnsi="宋体" w:eastAsia="宋体" w:cs="宋体"/>
          <w:szCs w:val="21"/>
        </w:rPr>
      </w:pPr>
      <w:r>
        <w:rPr>
          <w:rFonts w:hint="eastAsia" w:ascii="宋体" w:hAnsi="宋体" w:eastAsia="宋体" w:cs="宋体"/>
          <w:szCs w:val="21"/>
        </w:rPr>
        <w:br w:type="page"/>
      </w:r>
    </w:p>
    <w:p w14:paraId="1D5D9D59">
      <w:pPr>
        <w:keepNext/>
        <w:keepLines/>
        <w:widowControl w:val="0"/>
        <w:spacing w:before="260" w:after="260" w:line="416" w:lineRule="auto"/>
        <w:jc w:val="both"/>
        <w:outlineLvl w:val="2"/>
        <w:rPr>
          <w:rFonts w:hint="eastAsia" w:ascii="宋体" w:hAnsi="宋体" w:eastAsia="宋体" w:cs="宋体"/>
          <w:b/>
          <w:bCs/>
          <w:kern w:val="2"/>
          <w:sz w:val="21"/>
          <w:szCs w:val="21"/>
          <w:lang w:val="en-US" w:eastAsia="zh-CN" w:bidi="ar-SA"/>
        </w:rPr>
      </w:pPr>
      <w:bookmarkStart w:id="102" w:name="_Toc13959"/>
      <w:r>
        <w:rPr>
          <w:rFonts w:hint="eastAsia" w:ascii="宋体" w:hAnsi="宋体" w:eastAsia="宋体" w:cs="宋体"/>
          <w:b/>
          <w:bCs/>
          <w:kern w:val="2"/>
          <w:sz w:val="21"/>
          <w:szCs w:val="21"/>
          <w:lang w:val="en-US" w:eastAsia="zh-CN" w:bidi="ar-SA"/>
        </w:rPr>
        <w:t>附表2 符合性审查结果一览表</w:t>
      </w:r>
      <w:bookmarkEnd w:id="102"/>
    </w:p>
    <w:p w14:paraId="2B6A211F">
      <w:pPr>
        <w:adjustRightInd w:val="0"/>
        <w:snapToGrid w:val="0"/>
        <w:spacing w:before="161" w:beforeLines="50" w:line="360" w:lineRule="auto"/>
        <w:jc w:val="center"/>
        <w:rPr>
          <w:rFonts w:hint="eastAsia" w:ascii="宋体" w:hAnsi="宋体" w:eastAsia="宋体" w:cs="宋体"/>
          <w:b/>
          <w:sz w:val="28"/>
          <w:szCs w:val="28"/>
        </w:rPr>
      </w:pPr>
      <w:r>
        <w:rPr>
          <w:rFonts w:hint="eastAsia" w:ascii="宋体" w:hAnsi="宋体" w:eastAsia="宋体" w:cs="宋体"/>
          <w:b/>
          <w:sz w:val="28"/>
          <w:szCs w:val="28"/>
        </w:rPr>
        <w:t>符合性审查结果一览表</w:t>
      </w:r>
    </w:p>
    <w:p w14:paraId="2185682C">
      <w:pPr>
        <w:adjustRightInd w:val="0"/>
        <w:snapToGrid w:val="0"/>
        <w:spacing w:before="161" w:beforeLines="50" w:line="360" w:lineRule="auto"/>
        <w:rPr>
          <w:rFonts w:hint="eastAsia" w:ascii="宋体" w:hAnsi="宋体" w:eastAsia="宋体" w:cs="宋体"/>
          <w:szCs w:val="21"/>
        </w:rPr>
      </w:pPr>
      <w:r>
        <w:rPr>
          <w:rFonts w:hint="eastAsia" w:ascii="宋体" w:hAnsi="宋体" w:eastAsia="宋体" w:cs="宋体"/>
          <w:szCs w:val="21"/>
        </w:rPr>
        <w:t>项目名称：                                           采购代理编号：</w:t>
      </w:r>
    </w:p>
    <w:tbl>
      <w:tblPr>
        <w:tblStyle w:val="3"/>
        <w:tblW w:w="90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7"/>
        <w:gridCol w:w="2963"/>
        <w:gridCol w:w="2439"/>
        <w:gridCol w:w="2961"/>
      </w:tblGrid>
      <w:tr w14:paraId="34A39D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7" w:type="dxa"/>
            <w:tcBorders>
              <w:tl2br w:val="nil"/>
              <w:tr2bl w:val="nil"/>
            </w:tcBorders>
            <w:vAlign w:val="center"/>
          </w:tcPr>
          <w:p w14:paraId="15FA2585">
            <w:pPr>
              <w:jc w:val="center"/>
              <w:rPr>
                <w:rFonts w:hint="eastAsia" w:ascii="宋体" w:hAnsi="宋体" w:eastAsia="宋体" w:cs="宋体"/>
                <w:b/>
                <w:kern w:val="0"/>
                <w:szCs w:val="21"/>
              </w:rPr>
            </w:pPr>
            <w:r>
              <w:rPr>
                <w:rFonts w:hint="eastAsia" w:ascii="宋体" w:hAnsi="宋体" w:eastAsia="宋体" w:cs="宋体"/>
                <w:b/>
                <w:kern w:val="0"/>
                <w:szCs w:val="21"/>
              </w:rPr>
              <w:t>序号</w:t>
            </w:r>
          </w:p>
        </w:tc>
        <w:tc>
          <w:tcPr>
            <w:tcW w:w="2963" w:type="dxa"/>
            <w:tcBorders>
              <w:tl2br w:val="nil"/>
              <w:tr2bl w:val="nil"/>
            </w:tcBorders>
            <w:vAlign w:val="center"/>
          </w:tcPr>
          <w:p w14:paraId="387E285F">
            <w:pPr>
              <w:jc w:val="center"/>
              <w:rPr>
                <w:rFonts w:hint="eastAsia" w:ascii="宋体" w:hAnsi="宋体" w:eastAsia="宋体" w:cs="宋体"/>
                <w:b/>
                <w:kern w:val="0"/>
                <w:szCs w:val="21"/>
              </w:rPr>
            </w:pPr>
            <w:r>
              <w:rPr>
                <w:rFonts w:hint="eastAsia" w:ascii="宋体" w:hAnsi="宋体" w:eastAsia="宋体" w:cs="宋体"/>
                <w:b/>
                <w:kern w:val="0"/>
                <w:szCs w:val="21"/>
              </w:rPr>
              <w:t>投标人名称</w:t>
            </w:r>
          </w:p>
        </w:tc>
        <w:tc>
          <w:tcPr>
            <w:tcW w:w="2439" w:type="dxa"/>
            <w:tcBorders>
              <w:tl2br w:val="nil"/>
              <w:tr2bl w:val="nil"/>
            </w:tcBorders>
            <w:vAlign w:val="center"/>
          </w:tcPr>
          <w:p w14:paraId="5ADFA22C">
            <w:pPr>
              <w:jc w:val="center"/>
              <w:rPr>
                <w:rFonts w:hint="eastAsia" w:ascii="宋体" w:hAnsi="宋体" w:eastAsia="宋体" w:cs="宋体"/>
                <w:b/>
                <w:kern w:val="0"/>
                <w:szCs w:val="21"/>
              </w:rPr>
            </w:pPr>
            <w:r>
              <w:rPr>
                <w:rFonts w:hint="eastAsia" w:ascii="宋体" w:hAnsi="宋体" w:eastAsia="宋体" w:cs="宋体"/>
                <w:b/>
                <w:kern w:val="0"/>
                <w:szCs w:val="21"/>
              </w:rPr>
              <w:t>符合性审查结果</w:t>
            </w:r>
          </w:p>
          <w:p w14:paraId="505D4DC5">
            <w:pPr>
              <w:jc w:val="center"/>
              <w:rPr>
                <w:rFonts w:hint="eastAsia" w:ascii="宋体" w:hAnsi="宋体" w:eastAsia="宋体" w:cs="宋体"/>
                <w:b/>
                <w:kern w:val="0"/>
                <w:szCs w:val="21"/>
              </w:rPr>
            </w:pPr>
            <w:r>
              <w:rPr>
                <w:rFonts w:hint="eastAsia" w:ascii="宋体" w:hAnsi="宋体" w:eastAsia="宋体" w:cs="宋体"/>
                <w:b/>
                <w:kern w:val="0"/>
                <w:szCs w:val="21"/>
              </w:rPr>
              <w:t>（合格/不合格）</w:t>
            </w:r>
          </w:p>
        </w:tc>
        <w:tc>
          <w:tcPr>
            <w:tcW w:w="2961" w:type="dxa"/>
            <w:tcBorders>
              <w:tl2br w:val="nil"/>
              <w:tr2bl w:val="nil"/>
            </w:tcBorders>
            <w:vAlign w:val="center"/>
          </w:tcPr>
          <w:p w14:paraId="267D6BF7">
            <w:pPr>
              <w:jc w:val="center"/>
              <w:rPr>
                <w:rFonts w:hint="eastAsia" w:ascii="宋体" w:hAnsi="宋体" w:eastAsia="宋体" w:cs="宋体"/>
                <w:b/>
                <w:kern w:val="0"/>
                <w:szCs w:val="21"/>
              </w:rPr>
            </w:pPr>
            <w:r>
              <w:rPr>
                <w:rFonts w:hint="eastAsia" w:ascii="宋体" w:hAnsi="宋体" w:eastAsia="宋体" w:cs="宋体"/>
                <w:b/>
                <w:kern w:val="0"/>
                <w:szCs w:val="21"/>
              </w:rPr>
              <w:t>符合性审查不合格原因</w:t>
            </w:r>
          </w:p>
        </w:tc>
      </w:tr>
      <w:tr w14:paraId="101512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7" w:type="dxa"/>
            <w:tcBorders>
              <w:tl2br w:val="nil"/>
              <w:tr2bl w:val="nil"/>
            </w:tcBorders>
          </w:tcPr>
          <w:p w14:paraId="03E5B3FF">
            <w:pPr>
              <w:adjustRightInd w:val="0"/>
              <w:snapToGrid w:val="0"/>
              <w:spacing w:line="360" w:lineRule="auto"/>
              <w:rPr>
                <w:rFonts w:hint="eastAsia" w:ascii="宋体" w:hAnsi="宋体" w:eastAsia="宋体" w:cs="宋体"/>
                <w:kern w:val="0"/>
                <w:sz w:val="24"/>
              </w:rPr>
            </w:pPr>
          </w:p>
        </w:tc>
        <w:tc>
          <w:tcPr>
            <w:tcW w:w="2963" w:type="dxa"/>
            <w:tcBorders>
              <w:tl2br w:val="nil"/>
              <w:tr2bl w:val="nil"/>
            </w:tcBorders>
          </w:tcPr>
          <w:p w14:paraId="1E36FA8E">
            <w:pPr>
              <w:adjustRightInd w:val="0"/>
              <w:snapToGrid w:val="0"/>
              <w:spacing w:line="360" w:lineRule="auto"/>
              <w:rPr>
                <w:rFonts w:hint="eastAsia" w:ascii="宋体" w:hAnsi="宋体" w:eastAsia="宋体" w:cs="宋体"/>
                <w:kern w:val="0"/>
                <w:sz w:val="24"/>
              </w:rPr>
            </w:pPr>
          </w:p>
        </w:tc>
        <w:tc>
          <w:tcPr>
            <w:tcW w:w="2439" w:type="dxa"/>
            <w:tcBorders>
              <w:tl2br w:val="nil"/>
              <w:tr2bl w:val="nil"/>
            </w:tcBorders>
          </w:tcPr>
          <w:p w14:paraId="3E36E6EA">
            <w:pPr>
              <w:adjustRightInd w:val="0"/>
              <w:snapToGrid w:val="0"/>
              <w:spacing w:line="360" w:lineRule="auto"/>
              <w:rPr>
                <w:rFonts w:hint="eastAsia" w:ascii="宋体" w:hAnsi="宋体" w:eastAsia="宋体" w:cs="宋体"/>
                <w:kern w:val="0"/>
                <w:sz w:val="24"/>
              </w:rPr>
            </w:pPr>
          </w:p>
        </w:tc>
        <w:tc>
          <w:tcPr>
            <w:tcW w:w="2961" w:type="dxa"/>
            <w:tcBorders>
              <w:tl2br w:val="nil"/>
              <w:tr2bl w:val="nil"/>
            </w:tcBorders>
          </w:tcPr>
          <w:p w14:paraId="5B4563DE">
            <w:pPr>
              <w:adjustRightInd w:val="0"/>
              <w:snapToGrid w:val="0"/>
              <w:spacing w:line="360" w:lineRule="auto"/>
              <w:rPr>
                <w:rFonts w:hint="eastAsia" w:ascii="宋体" w:hAnsi="宋体" w:eastAsia="宋体" w:cs="宋体"/>
                <w:kern w:val="0"/>
                <w:sz w:val="24"/>
              </w:rPr>
            </w:pPr>
          </w:p>
        </w:tc>
      </w:tr>
      <w:tr w14:paraId="1DD6FA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7" w:type="dxa"/>
            <w:tcBorders>
              <w:tl2br w:val="nil"/>
              <w:tr2bl w:val="nil"/>
            </w:tcBorders>
          </w:tcPr>
          <w:p w14:paraId="137BD2DF">
            <w:pPr>
              <w:adjustRightInd w:val="0"/>
              <w:snapToGrid w:val="0"/>
              <w:spacing w:line="360" w:lineRule="auto"/>
              <w:rPr>
                <w:rFonts w:hint="eastAsia" w:ascii="宋体" w:hAnsi="宋体" w:eastAsia="宋体" w:cs="宋体"/>
                <w:kern w:val="0"/>
                <w:sz w:val="24"/>
              </w:rPr>
            </w:pPr>
          </w:p>
        </w:tc>
        <w:tc>
          <w:tcPr>
            <w:tcW w:w="2963" w:type="dxa"/>
            <w:tcBorders>
              <w:tl2br w:val="nil"/>
              <w:tr2bl w:val="nil"/>
            </w:tcBorders>
          </w:tcPr>
          <w:p w14:paraId="10556711">
            <w:pPr>
              <w:adjustRightInd w:val="0"/>
              <w:snapToGrid w:val="0"/>
              <w:spacing w:line="360" w:lineRule="auto"/>
              <w:rPr>
                <w:rFonts w:hint="eastAsia" w:ascii="宋体" w:hAnsi="宋体" w:eastAsia="宋体" w:cs="宋体"/>
                <w:kern w:val="0"/>
                <w:sz w:val="24"/>
              </w:rPr>
            </w:pPr>
          </w:p>
        </w:tc>
        <w:tc>
          <w:tcPr>
            <w:tcW w:w="2439" w:type="dxa"/>
            <w:tcBorders>
              <w:tl2br w:val="nil"/>
              <w:tr2bl w:val="nil"/>
            </w:tcBorders>
          </w:tcPr>
          <w:p w14:paraId="375FB78A">
            <w:pPr>
              <w:adjustRightInd w:val="0"/>
              <w:snapToGrid w:val="0"/>
              <w:spacing w:line="360" w:lineRule="auto"/>
              <w:rPr>
                <w:rFonts w:hint="eastAsia" w:ascii="宋体" w:hAnsi="宋体" w:eastAsia="宋体" w:cs="宋体"/>
                <w:kern w:val="0"/>
                <w:sz w:val="24"/>
              </w:rPr>
            </w:pPr>
          </w:p>
        </w:tc>
        <w:tc>
          <w:tcPr>
            <w:tcW w:w="2961" w:type="dxa"/>
            <w:tcBorders>
              <w:tl2br w:val="nil"/>
              <w:tr2bl w:val="nil"/>
            </w:tcBorders>
          </w:tcPr>
          <w:p w14:paraId="6E110418">
            <w:pPr>
              <w:adjustRightInd w:val="0"/>
              <w:snapToGrid w:val="0"/>
              <w:spacing w:line="360" w:lineRule="auto"/>
              <w:rPr>
                <w:rFonts w:hint="eastAsia" w:ascii="宋体" w:hAnsi="宋体" w:eastAsia="宋体" w:cs="宋体"/>
                <w:kern w:val="0"/>
                <w:sz w:val="24"/>
              </w:rPr>
            </w:pPr>
          </w:p>
        </w:tc>
      </w:tr>
      <w:tr w14:paraId="721BBC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7" w:type="dxa"/>
            <w:tcBorders>
              <w:tl2br w:val="nil"/>
              <w:tr2bl w:val="nil"/>
            </w:tcBorders>
          </w:tcPr>
          <w:p w14:paraId="5B48EBD0">
            <w:pPr>
              <w:adjustRightInd w:val="0"/>
              <w:snapToGrid w:val="0"/>
              <w:spacing w:line="360" w:lineRule="auto"/>
              <w:rPr>
                <w:rFonts w:hint="eastAsia" w:ascii="宋体" w:hAnsi="宋体" w:eastAsia="宋体" w:cs="宋体"/>
                <w:kern w:val="0"/>
                <w:sz w:val="24"/>
              </w:rPr>
            </w:pPr>
          </w:p>
        </w:tc>
        <w:tc>
          <w:tcPr>
            <w:tcW w:w="2963" w:type="dxa"/>
            <w:tcBorders>
              <w:tl2br w:val="nil"/>
              <w:tr2bl w:val="nil"/>
            </w:tcBorders>
          </w:tcPr>
          <w:p w14:paraId="178B6561">
            <w:pPr>
              <w:adjustRightInd w:val="0"/>
              <w:snapToGrid w:val="0"/>
              <w:spacing w:line="360" w:lineRule="auto"/>
              <w:rPr>
                <w:rFonts w:hint="eastAsia" w:ascii="宋体" w:hAnsi="宋体" w:eastAsia="宋体" w:cs="宋体"/>
                <w:kern w:val="0"/>
                <w:sz w:val="24"/>
              </w:rPr>
            </w:pPr>
          </w:p>
        </w:tc>
        <w:tc>
          <w:tcPr>
            <w:tcW w:w="2439" w:type="dxa"/>
            <w:tcBorders>
              <w:tl2br w:val="nil"/>
              <w:tr2bl w:val="nil"/>
            </w:tcBorders>
          </w:tcPr>
          <w:p w14:paraId="59BCF368">
            <w:pPr>
              <w:adjustRightInd w:val="0"/>
              <w:snapToGrid w:val="0"/>
              <w:spacing w:line="360" w:lineRule="auto"/>
              <w:rPr>
                <w:rFonts w:hint="eastAsia" w:ascii="宋体" w:hAnsi="宋体" w:eastAsia="宋体" w:cs="宋体"/>
                <w:kern w:val="0"/>
                <w:sz w:val="24"/>
              </w:rPr>
            </w:pPr>
          </w:p>
        </w:tc>
        <w:tc>
          <w:tcPr>
            <w:tcW w:w="2961" w:type="dxa"/>
            <w:tcBorders>
              <w:tl2br w:val="nil"/>
              <w:tr2bl w:val="nil"/>
            </w:tcBorders>
          </w:tcPr>
          <w:p w14:paraId="40D2CD53">
            <w:pPr>
              <w:adjustRightInd w:val="0"/>
              <w:snapToGrid w:val="0"/>
              <w:spacing w:line="360" w:lineRule="auto"/>
              <w:rPr>
                <w:rFonts w:hint="eastAsia" w:ascii="宋体" w:hAnsi="宋体" w:eastAsia="宋体" w:cs="宋体"/>
                <w:kern w:val="0"/>
                <w:sz w:val="24"/>
              </w:rPr>
            </w:pPr>
          </w:p>
        </w:tc>
      </w:tr>
      <w:tr w14:paraId="76F27C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7" w:type="dxa"/>
            <w:tcBorders>
              <w:tl2br w:val="nil"/>
              <w:tr2bl w:val="nil"/>
            </w:tcBorders>
          </w:tcPr>
          <w:p w14:paraId="2D11A796">
            <w:pPr>
              <w:adjustRightInd w:val="0"/>
              <w:snapToGrid w:val="0"/>
              <w:spacing w:line="360" w:lineRule="auto"/>
              <w:rPr>
                <w:rFonts w:hint="eastAsia" w:ascii="宋体" w:hAnsi="宋体" w:eastAsia="宋体" w:cs="宋体"/>
                <w:kern w:val="0"/>
                <w:sz w:val="24"/>
              </w:rPr>
            </w:pPr>
          </w:p>
        </w:tc>
        <w:tc>
          <w:tcPr>
            <w:tcW w:w="2963" w:type="dxa"/>
            <w:tcBorders>
              <w:tl2br w:val="nil"/>
              <w:tr2bl w:val="nil"/>
            </w:tcBorders>
          </w:tcPr>
          <w:p w14:paraId="1956F226">
            <w:pPr>
              <w:adjustRightInd w:val="0"/>
              <w:snapToGrid w:val="0"/>
              <w:spacing w:line="360" w:lineRule="auto"/>
              <w:rPr>
                <w:rFonts w:hint="eastAsia" w:ascii="宋体" w:hAnsi="宋体" w:eastAsia="宋体" w:cs="宋体"/>
                <w:kern w:val="0"/>
                <w:sz w:val="24"/>
              </w:rPr>
            </w:pPr>
          </w:p>
        </w:tc>
        <w:tc>
          <w:tcPr>
            <w:tcW w:w="2439" w:type="dxa"/>
            <w:tcBorders>
              <w:tl2br w:val="nil"/>
              <w:tr2bl w:val="nil"/>
            </w:tcBorders>
          </w:tcPr>
          <w:p w14:paraId="37944850">
            <w:pPr>
              <w:adjustRightInd w:val="0"/>
              <w:snapToGrid w:val="0"/>
              <w:spacing w:line="360" w:lineRule="auto"/>
              <w:rPr>
                <w:rFonts w:hint="eastAsia" w:ascii="宋体" w:hAnsi="宋体" w:eastAsia="宋体" w:cs="宋体"/>
                <w:kern w:val="0"/>
                <w:sz w:val="24"/>
              </w:rPr>
            </w:pPr>
          </w:p>
        </w:tc>
        <w:tc>
          <w:tcPr>
            <w:tcW w:w="2961" w:type="dxa"/>
            <w:tcBorders>
              <w:tl2br w:val="nil"/>
              <w:tr2bl w:val="nil"/>
            </w:tcBorders>
          </w:tcPr>
          <w:p w14:paraId="4EA6FADB">
            <w:pPr>
              <w:adjustRightInd w:val="0"/>
              <w:snapToGrid w:val="0"/>
              <w:spacing w:line="360" w:lineRule="auto"/>
              <w:rPr>
                <w:rFonts w:hint="eastAsia" w:ascii="宋体" w:hAnsi="宋体" w:eastAsia="宋体" w:cs="宋体"/>
                <w:kern w:val="0"/>
                <w:sz w:val="24"/>
              </w:rPr>
            </w:pPr>
          </w:p>
        </w:tc>
      </w:tr>
      <w:tr w14:paraId="182C64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7" w:type="dxa"/>
            <w:tcBorders>
              <w:tl2br w:val="nil"/>
              <w:tr2bl w:val="nil"/>
            </w:tcBorders>
          </w:tcPr>
          <w:p w14:paraId="4FA1E526">
            <w:pPr>
              <w:adjustRightInd w:val="0"/>
              <w:snapToGrid w:val="0"/>
              <w:spacing w:line="360" w:lineRule="auto"/>
              <w:rPr>
                <w:rFonts w:hint="eastAsia" w:ascii="宋体" w:hAnsi="宋体" w:eastAsia="宋体" w:cs="宋体"/>
                <w:kern w:val="0"/>
                <w:sz w:val="24"/>
              </w:rPr>
            </w:pPr>
          </w:p>
        </w:tc>
        <w:tc>
          <w:tcPr>
            <w:tcW w:w="2963" w:type="dxa"/>
            <w:tcBorders>
              <w:tl2br w:val="nil"/>
              <w:tr2bl w:val="nil"/>
            </w:tcBorders>
          </w:tcPr>
          <w:p w14:paraId="10E0C33E">
            <w:pPr>
              <w:adjustRightInd w:val="0"/>
              <w:snapToGrid w:val="0"/>
              <w:spacing w:line="360" w:lineRule="auto"/>
              <w:rPr>
                <w:rFonts w:hint="eastAsia" w:ascii="宋体" w:hAnsi="宋体" w:eastAsia="宋体" w:cs="宋体"/>
                <w:kern w:val="0"/>
                <w:sz w:val="24"/>
              </w:rPr>
            </w:pPr>
          </w:p>
        </w:tc>
        <w:tc>
          <w:tcPr>
            <w:tcW w:w="2439" w:type="dxa"/>
            <w:tcBorders>
              <w:tl2br w:val="nil"/>
              <w:tr2bl w:val="nil"/>
            </w:tcBorders>
          </w:tcPr>
          <w:p w14:paraId="19AECC3C">
            <w:pPr>
              <w:adjustRightInd w:val="0"/>
              <w:snapToGrid w:val="0"/>
              <w:spacing w:line="360" w:lineRule="auto"/>
              <w:rPr>
                <w:rFonts w:hint="eastAsia" w:ascii="宋体" w:hAnsi="宋体" w:eastAsia="宋体" w:cs="宋体"/>
                <w:kern w:val="0"/>
                <w:sz w:val="24"/>
              </w:rPr>
            </w:pPr>
          </w:p>
        </w:tc>
        <w:tc>
          <w:tcPr>
            <w:tcW w:w="2961" w:type="dxa"/>
            <w:tcBorders>
              <w:tl2br w:val="nil"/>
              <w:tr2bl w:val="nil"/>
            </w:tcBorders>
          </w:tcPr>
          <w:p w14:paraId="61DDE1CD">
            <w:pPr>
              <w:adjustRightInd w:val="0"/>
              <w:snapToGrid w:val="0"/>
              <w:spacing w:line="360" w:lineRule="auto"/>
              <w:rPr>
                <w:rFonts w:hint="eastAsia" w:ascii="宋体" w:hAnsi="宋体" w:eastAsia="宋体" w:cs="宋体"/>
                <w:kern w:val="0"/>
                <w:sz w:val="24"/>
              </w:rPr>
            </w:pPr>
          </w:p>
        </w:tc>
      </w:tr>
      <w:tr w14:paraId="776572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7" w:type="dxa"/>
            <w:tcBorders>
              <w:tl2br w:val="nil"/>
              <w:tr2bl w:val="nil"/>
            </w:tcBorders>
          </w:tcPr>
          <w:p w14:paraId="7A1EBCE0">
            <w:pPr>
              <w:adjustRightInd w:val="0"/>
              <w:snapToGrid w:val="0"/>
              <w:spacing w:line="360" w:lineRule="auto"/>
              <w:rPr>
                <w:rFonts w:hint="eastAsia" w:ascii="宋体" w:hAnsi="宋体" w:eastAsia="宋体" w:cs="宋体"/>
                <w:kern w:val="0"/>
                <w:sz w:val="24"/>
              </w:rPr>
            </w:pPr>
          </w:p>
        </w:tc>
        <w:tc>
          <w:tcPr>
            <w:tcW w:w="2963" w:type="dxa"/>
            <w:tcBorders>
              <w:tl2br w:val="nil"/>
              <w:tr2bl w:val="nil"/>
            </w:tcBorders>
          </w:tcPr>
          <w:p w14:paraId="0840C587">
            <w:pPr>
              <w:adjustRightInd w:val="0"/>
              <w:snapToGrid w:val="0"/>
              <w:spacing w:line="360" w:lineRule="auto"/>
              <w:rPr>
                <w:rFonts w:hint="eastAsia" w:ascii="宋体" w:hAnsi="宋体" w:eastAsia="宋体" w:cs="宋体"/>
                <w:kern w:val="0"/>
                <w:sz w:val="24"/>
              </w:rPr>
            </w:pPr>
          </w:p>
        </w:tc>
        <w:tc>
          <w:tcPr>
            <w:tcW w:w="2439" w:type="dxa"/>
            <w:tcBorders>
              <w:tl2br w:val="nil"/>
              <w:tr2bl w:val="nil"/>
            </w:tcBorders>
          </w:tcPr>
          <w:p w14:paraId="37E6921A">
            <w:pPr>
              <w:adjustRightInd w:val="0"/>
              <w:snapToGrid w:val="0"/>
              <w:spacing w:line="360" w:lineRule="auto"/>
              <w:rPr>
                <w:rFonts w:hint="eastAsia" w:ascii="宋体" w:hAnsi="宋体" w:eastAsia="宋体" w:cs="宋体"/>
                <w:kern w:val="0"/>
                <w:sz w:val="24"/>
              </w:rPr>
            </w:pPr>
          </w:p>
        </w:tc>
        <w:tc>
          <w:tcPr>
            <w:tcW w:w="2961" w:type="dxa"/>
            <w:tcBorders>
              <w:tl2br w:val="nil"/>
              <w:tr2bl w:val="nil"/>
            </w:tcBorders>
          </w:tcPr>
          <w:p w14:paraId="237FC2EB">
            <w:pPr>
              <w:adjustRightInd w:val="0"/>
              <w:snapToGrid w:val="0"/>
              <w:spacing w:line="360" w:lineRule="auto"/>
              <w:rPr>
                <w:rFonts w:hint="eastAsia" w:ascii="宋体" w:hAnsi="宋体" w:eastAsia="宋体" w:cs="宋体"/>
                <w:kern w:val="0"/>
                <w:sz w:val="24"/>
              </w:rPr>
            </w:pPr>
          </w:p>
        </w:tc>
      </w:tr>
      <w:tr w14:paraId="57E233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7" w:type="dxa"/>
            <w:tcBorders>
              <w:tl2br w:val="nil"/>
              <w:tr2bl w:val="nil"/>
            </w:tcBorders>
          </w:tcPr>
          <w:p w14:paraId="09DA537D">
            <w:pPr>
              <w:adjustRightInd w:val="0"/>
              <w:snapToGrid w:val="0"/>
              <w:spacing w:line="360" w:lineRule="auto"/>
              <w:rPr>
                <w:rFonts w:hint="eastAsia" w:ascii="宋体" w:hAnsi="宋体" w:eastAsia="宋体" w:cs="宋体"/>
                <w:kern w:val="0"/>
                <w:sz w:val="24"/>
              </w:rPr>
            </w:pPr>
          </w:p>
        </w:tc>
        <w:tc>
          <w:tcPr>
            <w:tcW w:w="2963" w:type="dxa"/>
            <w:tcBorders>
              <w:tl2br w:val="nil"/>
              <w:tr2bl w:val="nil"/>
            </w:tcBorders>
          </w:tcPr>
          <w:p w14:paraId="17C190CB">
            <w:pPr>
              <w:adjustRightInd w:val="0"/>
              <w:snapToGrid w:val="0"/>
              <w:spacing w:line="360" w:lineRule="auto"/>
              <w:rPr>
                <w:rFonts w:hint="eastAsia" w:ascii="宋体" w:hAnsi="宋体" w:eastAsia="宋体" w:cs="宋体"/>
                <w:kern w:val="0"/>
                <w:sz w:val="24"/>
              </w:rPr>
            </w:pPr>
          </w:p>
        </w:tc>
        <w:tc>
          <w:tcPr>
            <w:tcW w:w="2439" w:type="dxa"/>
            <w:tcBorders>
              <w:tl2br w:val="nil"/>
              <w:tr2bl w:val="nil"/>
            </w:tcBorders>
          </w:tcPr>
          <w:p w14:paraId="77DC7FEE">
            <w:pPr>
              <w:adjustRightInd w:val="0"/>
              <w:snapToGrid w:val="0"/>
              <w:spacing w:line="360" w:lineRule="auto"/>
              <w:rPr>
                <w:rFonts w:hint="eastAsia" w:ascii="宋体" w:hAnsi="宋体" w:eastAsia="宋体" w:cs="宋体"/>
                <w:kern w:val="0"/>
                <w:sz w:val="24"/>
              </w:rPr>
            </w:pPr>
          </w:p>
        </w:tc>
        <w:tc>
          <w:tcPr>
            <w:tcW w:w="2961" w:type="dxa"/>
            <w:tcBorders>
              <w:tl2br w:val="nil"/>
              <w:tr2bl w:val="nil"/>
            </w:tcBorders>
          </w:tcPr>
          <w:p w14:paraId="6124B28A">
            <w:pPr>
              <w:adjustRightInd w:val="0"/>
              <w:snapToGrid w:val="0"/>
              <w:spacing w:line="360" w:lineRule="auto"/>
              <w:rPr>
                <w:rFonts w:hint="eastAsia" w:ascii="宋体" w:hAnsi="宋体" w:eastAsia="宋体" w:cs="宋体"/>
                <w:kern w:val="0"/>
                <w:sz w:val="24"/>
              </w:rPr>
            </w:pPr>
          </w:p>
        </w:tc>
      </w:tr>
      <w:tr w14:paraId="1DE5C8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7" w:type="dxa"/>
            <w:tcBorders>
              <w:tl2br w:val="nil"/>
              <w:tr2bl w:val="nil"/>
            </w:tcBorders>
          </w:tcPr>
          <w:p w14:paraId="1BD7ACCE">
            <w:pPr>
              <w:adjustRightInd w:val="0"/>
              <w:snapToGrid w:val="0"/>
              <w:spacing w:line="360" w:lineRule="auto"/>
              <w:rPr>
                <w:rFonts w:hint="eastAsia" w:ascii="宋体" w:hAnsi="宋体" w:eastAsia="宋体" w:cs="宋体"/>
                <w:kern w:val="0"/>
                <w:sz w:val="24"/>
              </w:rPr>
            </w:pPr>
          </w:p>
        </w:tc>
        <w:tc>
          <w:tcPr>
            <w:tcW w:w="2963" w:type="dxa"/>
            <w:tcBorders>
              <w:tl2br w:val="nil"/>
              <w:tr2bl w:val="nil"/>
            </w:tcBorders>
          </w:tcPr>
          <w:p w14:paraId="3C0D1069">
            <w:pPr>
              <w:adjustRightInd w:val="0"/>
              <w:snapToGrid w:val="0"/>
              <w:spacing w:line="360" w:lineRule="auto"/>
              <w:rPr>
                <w:rFonts w:hint="eastAsia" w:ascii="宋体" w:hAnsi="宋体" w:eastAsia="宋体" w:cs="宋体"/>
                <w:kern w:val="0"/>
                <w:sz w:val="24"/>
              </w:rPr>
            </w:pPr>
          </w:p>
        </w:tc>
        <w:tc>
          <w:tcPr>
            <w:tcW w:w="2439" w:type="dxa"/>
            <w:tcBorders>
              <w:tl2br w:val="nil"/>
              <w:tr2bl w:val="nil"/>
            </w:tcBorders>
          </w:tcPr>
          <w:p w14:paraId="5C3B611D">
            <w:pPr>
              <w:adjustRightInd w:val="0"/>
              <w:snapToGrid w:val="0"/>
              <w:spacing w:line="360" w:lineRule="auto"/>
              <w:rPr>
                <w:rFonts w:hint="eastAsia" w:ascii="宋体" w:hAnsi="宋体" w:eastAsia="宋体" w:cs="宋体"/>
                <w:kern w:val="0"/>
                <w:sz w:val="24"/>
              </w:rPr>
            </w:pPr>
          </w:p>
        </w:tc>
        <w:tc>
          <w:tcPr>
            <w:tcW w:w="2961" w:type="dxa"/>
            <w:tcBorders>
              <w:tl2br w:val="nil"/>
              <w:tr2bl w:val="nil"/>
            </w:tcBorders>
          </w:tcPr>
          <w:p w14:paraId="6D096E9F">
            <w:pPr>
              <w:adjustRightInd w:val="0"/>
              <w:snapToGrid w:val="0"/>
              <w:spacing w:line="360" w:lineRule="auto"/>
              <w:rPr>
                <w:rFonts w:hint="eastAsia" w:ascii="宋体" w:hAnsi="宋体" w:eastAsia="宋体" w:cs="宋体"/>
                <w:kern w:val="0"/>
                <w:sz w:val="24"/>
              </w:rPr>
            </w:pPr>
          </w:p>
        </w:tc>
      </w:tr>
      <w:tr w14:paraId="0A4D72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97" w:type="dxa"/>
            <w:tcBorders>
              <w:tl2br w:val="nil"/>
              <w:tr2bl w:val="nil"/>
            </w:tcBorders>
          </w:tcPr>
          <w:p w14:paraId="1356BC58">
            <w:pPr>
              <w:adjustRightInd w:val="0"/>
              <w:snapToGrid w:val="0"/>
              <w:spacing w:line="360" w:lineRule="auto"/>
              <w:rPr>
                <w:rFonts w:hint="eastAsia" w:ascii="宋体" w:hAnsi="宋体" w:eastAsia="宋体" w:cs="宋体"/>
                <w:kern w:val="0"/>
                <w:sz w:val="24"/>
              </w:rPr>
            </w:pPr>
          </w:p>
        </w:tc>
        <w:tc>
          <w:tcPr>
            <w:tcW w:w="2963" w:type="dxa"/>
            <w:tcBorders>
              <w:tl2br w:val="nil"/>
              <w:tr2bl w:val="nil"/>
            </w:tcBorders>
          </w:tcPr>
          <w:p w14:paraId="01844674">
            <w:pPr>
              <w:adjustRightInd w:val="0"/>
              <w:snapToGrid w:val="0"/>
              <w:spacing w:line="360" w:lineRule="auto"/>
              <w:rPr>
                <w:rFonts w:hint="eastAsia" w:ascii="宋体" w:hAnsi="宋体" w:eastAsia="宋体" w:cs="宋体"/>
                <w:kern w:val="0"/>
                <w:sz w:val="24"/>
              </w:rPr>
            </w:pPr>
          </w:p>
        </w:tc>
        <w:tc>
          <w:tcPr>
            <w:tcW w:w="2439" w:type="dxa"/>
            <w:tcBorders>
              <w:tl2br w:val="nil"/>
              <w:tr2bl w:val="nil"/>
            </w:tcBorders>
          </w:tcPr>
          <w:p w14:paraId="4A8F7262">
            <w:pPr>
              <w:adjustRightInd w:val="0"/>
              <w:snapToGrid w:val="0"/>
              <w:spacing w:line="360" w:lineRule="auto"/>
              <w:rPr>
                <w:rFonts w:hint="eastAsia" w:ascii="宋体" w:hAnsi="宋体" w:eastAsia="宋体" w:cs="宋体"/>
                <w:kern w:val="0"/>
                <w:sz w:val="24"/>
              </w:rPr>
            </w:pPr>
          </w:p>
        </w:tc>
        <w:tc>
          <w:tcPr>
            <w:tcW w:w="2961" w:type="dxa"/>
            <w:tcBorders>
              <w:tl2br w:val="nil"/>
              <w:tr2bl w:val="nil"/>
            </w:tcBorders>
          </w:tcPr>
          <w:p w14:paraId="7C23F3D0">
            <w:pPr>
              <w:adjustRightInd w:val="0"/>
              <w:snapToGrid w:val="0"/>
              <w:spacing w:line="360" w:lineRule="auto"/>
              <w:rPr>
                <w:rFonts w:hint="eastAsia" w:ascii="宋体" w:hAnsi="宋体" w:eastAsia="宋体" w:cs="宋体"/>
                <w:kern w:val="0"/>
                <w:sz w:val="24"/>
              </w:rPr>
            </w:pPr>
          </w:p>
        </w:tc>
      </w:tr>
    </w:tbl>
    <w:p w14:paraId="582FFB43">
      <w:pPr>
        <w:widowControl/>
        <w:jc w:val="left"/>
        <w:rPr>
          <w:rFonts w:hint="eastAsia" w:ascii="宋体" w:hAnsi="宋体" w:eastAsia="宋体" w:cs="宋体"/>
          <w:bCs/>
          <w:szCs w:val="21"/>
        </w:rPr>
      </w:pPr>
      <w:r>
        <w:rPr>
          <w:rFonts w:hint="eastAsia" w:ascii="宋体" w:hAnsi="宋体" w:eastAsia="宋体" w:cs="宋体"/>
          <w:b/>
          <w:szCs w:val="21"/>
        </w:rPr>
        <w:br w:type="page"/>
      </w:r>
    </w:p>
    <w:p w14:paraId="43C71F18">
      <w:pPr>
        <w:keepNext/>
        <w:keepLines/>
        <w:widowControl w:val="0"/>
        <w:spacing w:before="260" w:after="260" w:line="416" w:lineRule="auto"/>
        <w:jc w:val="both"/>
        <w:outlineLvl w:val="2"/>
        <w:rPr>
          <w:rFonts w:hint="eastAsia" w:ascii="宋体" w:hAnsi="宋体" w:eastAsia="宋体" w:cs="宋体"/>
          <w:b/>
          <w:bCs/>
          <w:kern w:val="2"/>
          <w:sz w:val="21"/>
          <w:szCs w:val="21"/>
          <w:lang w:val="en-US" w:eastAsia="zh-CN" w:bidi="ar-SA"/>
        </w:rPr>
      </w:pPr>
      <w:bookmarkStart w:id="103" w:name="_Toc25953"/>
      <w:r>
        <w:rPr>
          <w:rFonts w:hint="eastAsia" w:ascii="宋体" w:hAnsi="宋体" w:eastAsia="宋体" w:cs="宋体"/>
          <w:b/>
          <w:bCs/>
          <w:kern w:val="2"/>
          <w:sz w:val="21"/>
          <w:szCs w:val="21"/>
          <w:lang w:val="en-US" w:eastAsia="zh-CN" w:bidi="ar-SA"/>
        </w:rPr>
        <w:t>附表3 符合性审查合格投标人名单</w:t>
      </w:r>
      <w:bookmarkEnd w:id="103"/>
    </w:p>
    <w:p w14:paraId="4900A8D2">
      <w:pPr>
        <w:adjustRightInd w:val="0"/>
        <w:snapToGrid w:val="0"/>
        <w:spacing w:before="161" w:beforeLines="50" w:line="360" w:lineRule="auto"/>
        <w:jc w:val="center"/>
        <w:rPr>
          <w:rFonts w:hint="eastAsia" w:ascii="宋体" w:hAnsi="宋体" w:eastAsia="宋体" w:cs="宋体"/>
          <w:b/>
          <w:sz w:val="28"/>
          <w:szCs w:val="28"/>
        </w:rPr>
      </w:pPr>
      <w:r>
        <w:rPr>
          <w:rFonts w:hint="eastAsia" w:ascii="宋体" w:hAnsi="宋体" w:eastAsia="宋体" w:cs="宋体"/>
          <w:b/>
          <w:sz w:val="28"/>
          <w:szCs w:val="28"/>
        </w:rPr>
        <w:t>符合性审查合格投标人名单</w:t>
      </w:r>
    </w:p>
    <w:p w14:paraId="3959569B">
      <w:pPr>
        <w:adjustRightInd w:val="0"/>
        <w:snapToGrid w:val="0"/>
        <w:spacing w:before="161" w:beforeLines="50" w:line="360" w:lineRule="auto"/>
        <w:rPr>
          <w:rFonts w:hint="eastAsia" w:ascii="宋体" w:hAnsi="宋体" w:eastAsia="宋体" w:cs="宋体"/>
          <w:sz w:val="32"/>
          <w:szCs w:val="32"/>
        </w:rPr>
      </w:pPr>
      <w:r>
        <w:rPr>
          <w:rFonts w:hint="eastAsia" w:ascii="宋体" w:hAnsi="宋体" w:eastAsia="宋体" w:cs="宋体"/>
          <w:szCs w:val="21"/>
        </w:rPr>
        <w:t>项目名称：                                        采购代理编号：</w:t>
      </w:r>
    </w:p>
    <w:tbl>
      <w:tblPr>
        <w:tblStyle w:val="3"/>
        <w:tblW w:w="8789"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3"/>
        <w:gridCol w:w="7796"/>
      </w:tblGrid>
      <w:tr w14:paraId="7D860C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3" w:type="dxa"/>
            <w:tcBorders>
              <w:tl2br w:val="nil"/>
              <w:tr2bl w:val="nil"/>
            </w:tcBorders>
            <w:vAlign w:val="center"/>
          </w:tcPr>
          <w:p w14:paraId="335C5BBD">
            <w:pPr>
              <w:jc w:val="center"/>
              <w:rPr>
                <w:rFonts w:hint="eastAsia" w:ascii="宋体" w:hAnsi="宋体" w:eastAsia="宋体" w:cs="宋体"/>
                <w:b/>
                <w:kern w:val="0"/>
                <w:szCs w:val="21"/>
              </w:rPr>
            </w:pPr>
            <w:r>
              <w:rPr>
                <w:rFonts w:hint="eastAsia" w:ascii="宋体" w:hAnsi="宋体" w:eastAsia="宋体" w:cs="宋体"/>
                <w:b/>
                <w:kern w:val="0"/>
                <w:szCs w:val="21"/>
              </w:rPr>
              <w:t>序号</w:t>
            </w:r>
          </w:p>
        </w:tc>
        <w:tc>
          <w:tcPr>
            <w:tcW w:w="7796" w:type="dxa"/>
            <w:tcBorders>
              <w:tl2br w:val="nil"/>
              <w:tr2bl w:val="nil"/>
            </w:tcBorders>
            <w:vAlign w:val="center"/>
          </w:tcPr>
          <w:p w14:paraId="79383CEB">
            <w:pPr>
              <w:jc w:val="center"/>
              <w:rPr>
                <w:rFonts w:hint="eastAsia" w:ascii="宋体" w:hAnsi="宋体" w:eastAsia="宋体" w:cs="宋体"/>
                <w:b/>
                <w:kern w:val="0"/>
                <w:szCs w:val="21"/>
              </w:rPr>
            </w:pPr>
            <w:r>
              <w:rPr>
                <w:rFonts w:hint="eastAsia" w:ascii="宋体" w:hAnsi="宋体" w:eastAsia="宋体" w:cs="宋体"/>
                <w:b/>
                <w:kern w:val="0"/>
                <w:szCs w:val="21"/>
              </w:rPr>
              <w:t>合格投标人名称</w:t>
            </w:r>
          </w:p>
        </w:tc>
      </w:tr>
      <w:tr w14:paraId="5366A7F8">
        <w:tblPrEx>
          <w:tblCellMar>
            <w:top w:w="0" w:type="dxa"/>
            <w:left w:w="108" w:type="dxa"/>
            <w:bottom w:w="0" w:type="dxa"/>
            <w:right w:w="108" w:type="dxa"/>
          </w:tblCellMar>
        </w:tblPrEx>
        <w:tc>
          <w:tcPr>
            <w:tcW w:w="993" w:type="dxa"/>
            <w:tcBorders>
              <w:tl2br w:val="nil"/>
              <w:tr2bl w:val="nil"/>
            </w:tcBorders>
          </w:tcPr>
          <w:p w14:paraId="1AA2A060">
            <w:pPr>
              <w:adjustRightInd w:val="0"/>
              <w:snapToGrid w:val="0"/>
              <w:spacing w:line="360" w:lineRule="auto"/>
              <w:rPr>
                <w:rFonts w:hint="eastAsia" w:ascii="宋体" w:hAnsi="宋体" w:eastAsia="宋体" w:cs="宋体"/>
                <w:kern w:val="0"/>
                <w:szCs w:val="21"/>
              </w:rPr>
            </w:pPr>
          </w:p>
        </w:tc>
        <w:tc>
          <w:tcPr>
            <w:tcW w:w="7796" w:type="dxa"/>
            <w:tcBorders>
              <w:tl2br w:val="nil"/>
              <w:tr2bl w:val="nil"/>
            </w:tcBorders>
          </w:tcPr>
          <w:p w14:paraId="6BEF38E5">
            <w:pPr>
              <w:adjustRightInd w:val="0"/>
              <w:snapToGrid w:val="0"/>
              <w:spacing w:line="360" w:lineRule="auto"/>
              <w:rPr>
                <w:rFonts w:hint="eastAsia" w:ascii="宋体" w:hAnsi="宋体" w:eastAsia="宋体" w:cs="宋体"/>
                <w:kern w:val="0"/>
                <w:szCs w:val="21"/>
              </w:rPr>
            </w:pPr>
          </w:p>
        </w:tc>
      </w:tr>
      <w:tr w14:paraId="471A7E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3" w:type="dxa"/>
            <w:tcBorders>
              <w:tl2br w:val="nil"/>
              <w:tr2bl w:val="nil"/>
            </w:tcBorders>
          </w:tcPr>
          <w:p w14:paraId="2446BBD3">
            <w:pPr>
              <w:adjustRightInd w:val="0"/>
              <w:snapToGrid w:val="0"/>
              <w:spacing w:line="360" w:lineRule="auto"/>
              <w:rPr>
                <w:rFonts w:hint="eastAsia" w:ascii="宋体" w:hAnsi="宋体" w:eastAsia="宋体" w:cs="宋体"/>
                <w:kern w:val="0"/>
                <w:sz w:val="24"/>
              </w:rPr>
            </w:pPr>
          </w:p>
        </w:tc>
        <w:tc>
          <w:tcPr>
            <w:tcW w:w="7796" w:type="dxa"/>
            <w:tcBorders>
              <w:tl2br w:val="nil"/>
              <w:tr2bl w:val="nil"/>
            </w:tcBorders>
          </w:tcPr>
          <w:p w14:paraId="48A04240">
            <w:pPr>
              <w:adjustRightInd w:val="0"/>
              <w:snapToGrid w:val="0"/>
              <w:spacing w:line="360" w:lineRule="auto"/>
              <w:rPr>
                <w:rFonts w:hint="eastAsia" w:ascii="宋体" w:hAnsi="宋体" w:eastAsia="宋体" w:cs="宋体"/>
                <w:kern w:val="0"/>
                <w:sz w:val="24"/>
              </w:rPr>
            </w:pPr>
          </w:p>
        </w:tc>
      </w:tr>
      <w:tr w14:paraId="156A60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3" w:type="dxa"/>
            <w:tcBorders>
              <w:tl2br w:val="nil"/>
              <w:tr2bl w:val="nil"/>
            </w:tcBorders>
          </w:tcPr>
          <w:p w14:paraId="5E7C4124">
            <w:pPr>
              <w:adjustRightInd w:val="0"/>
              <w:snapToGrid w:val="0"/>
              <w:spacing w:line="360" w:lineRule="auto"/>
              <w:rPr>
                <w:rFonts w:hint="eastAsia" w:ascii="宋体" w:hAnsi="宋体" w:eastAsia="宋体" w:cs="宋体"/>
                <w:kern w:val="0"/>
                <w:sz w:val="24"/>
              </w:rPr>
            </w:pPr>
          </w:p>
        </w:tc>
        <w:tc>
          <w:tcPr>
            <w:tcW w:w="7796" w:type="dxa"/>
            <w:tcBorders>
              <w:tl2br w:val="nil"/>
              <w:tr2bl w:val="nil"/>
            </w:tcBorders>
          </w:tcPr>
          <w:p w14:paraId="5FDBFC49">
            <w:pPr>
              <w:adjustRightInd w:val="0"/>
              <w:snapToGrid w:val="0"/>
              <w:spacing w:line="360" w:lineRule="auto"/>
              <w:rPr>
                <w:rFonts w:hint="eastAsia" w:ascii="宋体" w:hAnsi="宋体" w:eastAsia="宋体" w:cs="宋体"/>
                <w:kern w:val="0"/>
                <w:sz w:val="24"/>
              </w:rPr>
            </w:pPr>
          </w:p>
        </w:tc>
      </w:tr>
      <w:tr w14:paraId="0299D5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3" w:type="dxa"/>
            <w:tcBorders>
              <w:tl2br w:val="nil"/>
              <w:tr2bl w:val="nil"/>
            </w:tcBorders>
          </w:tcPr>
          <w:p w14:paraId="2CF86827">
            <w:pPr>
              <w:adjustRightInd w:val="0"/>
              <w:snapToGrid w:val="0"/>
              <w:spacing w:line="360" w:lineRule="auto"/>
              <w:rPr>
                <w:rFonts w:hint="eastAsia" w:ascii="宋体" w:hAnsi="宋体" w:eastAsia="宋体" w:cs="宋体"/>
                <w:kern w:val="0"/>
                <w:sz w:val="24"/>
              </w:rPr>
            </w:pPr>
          </w:p>
        </w:tc>
        <w:tc>
          <w:tcPr>
            <w:tcW w:w="7796" w:type="dxa"/>
            <w:tcBorders>
              <w:tl2br w:val="nil"/>
              <w:tr2bl w:val="nil"/>
            </w:tcBorders>
          </w:tcPr>
          <w:p w14:paraId="50C076C9">
            <w:pPr>
              <w:adjustRightInd w:val="0"/>
              <w:snapToGrid w:val="0"/>
              <w:spacing w:line="360" w:lineRule="auto"/>
              <w:rPr>
                <w:rFonts w:hint="eastAsia" w:ascii="宋体" w:hAnsi="宋体" w:eastAsia="宋体" w:cs="宋体"/>
                <w:kern w:val="0"/>
                <w:sz w:val="24"/>
              </w:rPr>
            </w:pPr>
          </w:p>
        </w:tc>
      </w:tr>
      <w:tr w14:paraId="52CAA2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3" w:type="dxa"/>
            <w:tcBorders>
              <w:tl2br w:val="nil"/>
              <w:tr2bl w:val="nil"/>
            </w:tcBorders>
          </w:tcPr>
          <w:p w14:paraId="62B20925">
            <w:pPr>
              <w:adjustRightInd w:val="0"/>
              <w:snapToGrid w:val="0"/>
              <w:spacing w:line="360" w:lineRule="auto"/>
              <w:rPr>
                <w:rFonts w:hint="eastAsia" w:ascii="宋体" w:hAnsi="宋体" w:eastAsia="宋体" w:cs="宋体"/>
                <w:kern w:val="0"/>
                <w:sz w:val="24"/>
              </w:rPr>
            </w:pPr>
          </w:p>
        </w:tc>
        <w:tc>
          <w:tcPr>
            <w:tcW w:w="7796" w:type="dxa"/>
            <w:tcBorders>
              <w:tl2br w:val="nil"/>
              <w:tr2bl w:val="nil"/>
            </w:tcBorders>
          </w:tcPr>
          <w:p w14:paraId="6315B4EC">
            <w:pPr>
              <w:adjustRightInd w:val="0"/>
              <w:snapToGrid w:val="0"/>
              <w:spacing w:line="360" w:lineRule="auto"/>
              <w:rPr>
                <w:rFonts w:hint="eastAsia" w:ascii="宋体" w:hAnsi="宋体" w:eastAsia="宋体" w:cs="宋体"/>
                <w:kern w:val="0"/>
                <w:sz w:val="24"/>
              </w:rPr>
            </w:pPr>
          </w:p>
        </w:tc>
      </w:tr>
      <w:tr w14:paraId="0B42F0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3" w:type="dxa"/>
            <w:tcBorders>
              <w:tl2br w:val="nil"/>
              <w:tr2bl w:val="nil"/>
            </w:tcBorders>
          </w:tcPr>
          <w:p w14:paraId="42C79C2D">
            <w:pPr>
              <w:adjustRightInd w:val="0"/>
              <w:snapToGrid w:val="0"/>
              <w:spacing w:line="360" w:lineRule="auto"/>
              <w:rPr>
                <w:rFonts w:hint="eastAsia" w:ascii="宋体" w:hAnsi="宋体" w:eastAsia="宋体" w:cs="宋体"/>
                <w:kern w:val="0"/>
                <w:sz w:val="24"/>
              </w:rPr>
            </w:pPr>
          </w:p>
        </w:tc>
        <w:tc>
          <w:tcPr>
            <w:tcW w:w="7796" w:type="dxa"/>
            <w:tcBorders>
              <w:tl2br w:val="nil"/>
              <w:tr2bl w:val="nil"/>
            </w:tcBorders>
          </w:tcPr>
          <w:p w14:paraId="7EBF483B">
            <w:pPr>
              <w:adjustRightInd w:val="0"/>
              <w:snapToGrid w:val="0"/>
              <w:spacing w:line="360" w:lineRule="auto"/>
              <w:rPr>
                <w:rFonts w:hint="eastAsia" w:ascii="宋体" w:hAnsi="宋体" w:eastAsia="宋体" w:cs="宋体"/>
                <w:kern w:val="0"/>
                <w:sz w:val="24"/>
              </w:rPr>
            </w:pPr>
          </w:p>
        </w:tc>
      </w:tr>
    </w:tbl>
    <w:p w14:paraId="2202DCA9">
      <w:pPr>
        <w:rPr>
          <w:rFonts w:hint="eastAsia" w:ascii="宋体" w:hAnsi="宋体" w:eastAsia="宋体" w:cs="宋体"/>
          <w:w w:val="90"/>
        </w:rPr>
      </w:pPr>
    </w:p>
    <w:p w14:paraId="62D7FB7C">
      <w:pPr>
        <w:rPr>
          <w:rFonts w:hint="eastAsia" w:ascii="宋体" w:hAnsi="宋体" w:eastAsia="宋体" w:cs="宋体"/>
          <w:b/>
          <w:sz w:val="32"/>
          <w:szCs w:val="32"/>
        </w:rPr>
      </w:pPr>
    </w:p>
    <w:p w14:paraId="12D7B7D0">
      <w:pPr>
        <w:keepNext/>
        <w:keepLines/>
        <w:widowControl w:val="0"/>
        <w:adjustRightInd w:val="0"/>
        <w:snapToGrid w:val="0"/>
        <w:spacing w:line="360" w:lineRule="auto"/>
        <w:jc w:val="center"/>
        <w:outlineLvl w:val="1"/>
        <w:rPr>
          <w:rFonts w:hint="eastAsia" w:ascii="宋体" w:hAnsi="宋体" w:eastAsia="宋体" w:cs="宋体"/>
          <w:b/>
          <w:bCs/>
          <w:kern w:val="2"/>
          <w:sz w:val="28"/>
          <w:szCs w:val="28"/>
          <w:lang w:val="en-US" w:eastAsia="zh-CN" w:bidi="ar-SA"/>
        </w:rPr>
      </w:pPr>
      <w:r>
        <w:rPr>
          <w:rFonts w:hint="eastAsia" w:ascii="宋体" w:hAnsi="宋体" w:eastAsia="宋体" w:cs="宋体"/>
          <w:b w:val="0"/>
          <w:bCs/>
          <w:kern w:val="2"/>
          <w:sz w:val="32"/>
          <w:szCs w:val="32"/>
          <w:lang w:val="en-US" w:eastAsia="zh-CN" w:bidi="ar-SA"/>
        </w:rPr>
        <w:br w:type="page"/>
      </w:r>
      <w:bookmarkStart w:id="104" w:name="_Toc18545"/>
      <w:r>
        <w:rPr>
          <w:rFonts w:hint="eastAsia" w:ascii="宋体" w:hAnsi="宋体" w:eastAsia="宋体" w:cs="宋体"/>
          <w:b/>
          <w:bCs/>
          <w:kern w:val="2"/>
          <w:sz w:val="28"/>
          <w:szCs w:val="28"/>
          <w:lang w:val="en-US" w:eastAsia="zh-CN" w:bidi="ar-SA"/>
        </w:rPr>
        <w:t>第四节 投标文件的比较与评价（综合评分法）</w:t>
      </w:r>
      <w:bookmarkEnd w:id="104"/>
    </w:p>
    <w:p w14:paraId="78B37263">
      <w:pPr>
        <w:widowControl/>
        <w:adjustRightInd w:val="0"/>
        <w:snapToGrid w:val="0"/>
        <w:spacing w:before="161" w:beforeLines="50" w:line="360" w:lineRule="auto"/>
        <w:jc w:val="left"/>
        <w:rPr>
          <w:rFonts w:hint="eastAsia" w:ascii="宋体" w:hAnsi="宋体" w:eastAsia="宋体" w:cs="宋体"/>
          <w:b/>
          <w:sz w:val="24"/>
        </w:rPr>
      </w:pPr>
      <w:r>
        <w:rPr>
          <w:rFonts w:hint="eastAsia" w:ascii="宋体" w:hAnsi="宋体" w:eastAsia="宋体" w:cs="宋体"/>
          <w:b/>
          <w:sz w:val="24"/>
        </w:rPr>
        <w:t>1.</w:t>
      </w:r>
      <w:r>
        <w:rPr>
          <w:rFonts w:hint="eastAsia" w:ascii="宋体" w:hAnsi="宋体" w:eastAsia="宋体" w:cs="宋体"/>
        </w:rPr>
        <w:t xml:space="preserve"> </w:t>
      </w:r>
      <w:r>
        <w:rPr>
          <w:rFonts w:hint="eastAsia" w:ascii="宋体" w:hAnsi="宋体" w:eastAsia="宋体" w:cs="宋体"/>
          <w:b/>
          <w:sz w:val="24"/>
        </w:rPr>
        <w:t>综合评分法</w:t>
      </w:r>
    </w:p>
    <w:p w14:paraId="17383947">
      <w:pPr>
        <w:adjustRightInd w:val="0"/>
        <w:snapToGrid w:val="0"/>
        <w:spacing w:before="161" w:beforeLines="50" w:line="360" w:lineRule="auto"/>
        <w:ind w:firstLine="420" w:firstLineChars="200"/>
        <w:jc w:val="left"/>
        <w:rPr>
          <w:rFonts w:hint="eastAsia" w:ascii="宋体" w:hAnsi="宋体" w:eastAsia="宋体" w:cs="宋体"/>
          <w:bCs/>
          <w:szCs w:val="21"/>
        </w:rPr>
      </w:pPr>
      <w:r>
        <w:rPr>
          <w:rFonts w:hint="eastAsia" w:ascii="宋体" w:hAnsi="宋体" w:eastAsia="宋体" w:cs="宋体"/>
          <w:bCs/>
          <w:szCs w:val="21"/>
        </w:rPr>
        <w:t>1.1综合评分法，指投标文件满足招标文件全部实质性要求，且按照评审因素的量化指标评审得分最高的投标人为中标候选人的评标方法。</w:t>
      </w:r>
    </w:p>
    <w:p w14:paraId="62FA0F44">
      <w:pPr>
        <w:adjustRightInd w:val="0"/>
        <w:snapToGrid w:val="0"/>
        <w:spacing w:before="161" w:beforeLines="50" w:line="360" w:lineRule="auto"/>
        <w:ind w:firstLine="420" w:firstLineChars="200"/>
        <w:jc w:val="left"/>
        <w:rPr>
          <w:rFonts w:hint="eastAsia" w:ascii="宋体" w:hAnsi="宋体" w:eastAsia="宋体" w:cs="宋体"/>
          <w:bCs/>
          <w:szCs w:val="21"/>
        </w:rPr>
      </w:pPr>
      <w:r>
        <w:rPr>
          <w:rFonts w:hint="eastAsia" w:ascii="宋体" w:hAnsi="宋体" w:eastAsia="宋体" w:cs="宋体"/>
          <w:bCs/>
          <w:szCs w:val="21"/>
        </w:rPr>
        <w:t>1.2评标因素：评审因素的设定应当与投标人所提供货物服务的质量相关，包括投标报价、技术或者服务水平、履约能力、售后服务等，但不包括第一章投标人的资格要求。本采购项目的评标因素和标准见本章本节附页1“评标方法及标准表”。</w:t>
      </w:r>
    </w:p>
    <w:p w14:paraId="2E287F91">
      <w:pPr>
        <w:adjustRightInd w:val="0"/>
        <w:snapToGrid w:val="0"/>
        <w:spacing w:before="161" w:beforeLines="50" w:line="360" w:lineRule="auto"/>
        <w:ind w:firstLine="420" w:firstLineChars="200"/>
        <w:jc w:val="left"/>
        <w:rPr>
          <w:rFonts w:hint="eastAsia" w:ascii="宋体" w:hAnsi="宋体" w:eastAsia="宋体" w:cs="宋体"/>
          <w:bCs/>
          <w:szCs w:val="21"/>
        </w:rPr>
      </w:pPr>
      <w:r>
        <w:rPr>
          <w:rFonts w:hint="eastAsia" w:ascii="宋体" w:hAnsi="宋体" w:eastAsia="宋体" w:cs="宋体"/>
          <w:bCs/>
          <w:szCs w:val="21"/>
        </w:rPr>
        <w:t>1.3未通过符合性审查的投标文件不得进入比较与评价。</w:t>
      </w:r>
    </w:p>
    <w:p w14:paraId="62B2ABAD">
      <w:pPr>
        <w:adjustRightInd w:val="0"/>
        <w:snapToGrid w:val="0"/>
        <w:spacing w:before="161" w:beforeLines="50" w:line="360" w:lineRule="auto"/>
        <w:jc w:val="left"/>
        <w:rPr>
          <w:rFonts w:hint="eastAsia" w:ascii="宋体" w:hAnsi="宋体" w:eastAsia="宋体" w:cs="宋体"/>
          <w:b/>
          <w:bCs/>
          <w:sz w:val="24"/>
        </w:rPr>
      </w:pPr>
      <w:r>
        <w:rPr>
          <w:rFonts w:hint="eastAsia" w:ascii="宋体" w:hAnsi="宋体" w:eastAsia="宋体" w:cs="宋体"/>
          <w:b/>
          <w:bCs/>
          <w:sz w:val="24"/>
        </w:rPr>
        <w:t>2.</w:t>
      </w:r>
      <w:r>
        <w:rPr>
          <w:rFonts w:hint="eastAsia" w:ascii="宋体" w:hAnsi="宋体" w:eastAsia="宋体" w:cs="宋体"/>
        </w:rPr>
        <w:t xml:space="preserve"> </w:t>
      </w:r>
      <w:r>
        <w:rPr>
          <w:rFonts w:hint="eastAsia" w:ascii="宋体" w:hAnsi="宋体" w:eastAsia="宋体" w:cs="宋体"/>
          <w:b/>
          <w:bCs/>
          <w:sz w:val="24"/>
        </w:rPr>
        <w:t>投标报价的算术修正及政府采购政策调整</w:t>
      </w:r>
    </w:p>
    <w:p w14:paraId="7B70E90E">
      <w:pPr>
        <w:adjustRightInd w:val="0"/>
        <w:snapToGrid w:val="0"/>
        <w:spacing w:before="161" w:beforeLines="50" w:line="360" w:lineRule="auto"/>
        <w:ind w:firstLine="420" w:firstLineChars="200"/>
        <w:jc w:val="left"/>
        <w:rPr>
          <w:rFonts w:hint="eastAsia" w:ascii="宋体" w:hAnsi="宋体" w:eastAsia="宋体" w:cs="宋体"/>
          <w:bCs/>
          <w:szCs w:val="21"/>
        </w:rPr>
      </w:pPr>
      <w:r>
        <w:rPr>
          <w:rFonts w:hint="eastAsia" w:ascii="宋体" w:hAnsi="宋体" w:eastAsia="宋体" w:cs="宋体"/>
          <w:bCs/>
          <w:szCs w:val="21"/>
        </w:rPr>
        <w:t>2.1如果有算术错误，投标报价将按本章第二节第4.2款、第4.3款规定进行算术修正。</w:t>
      </w:r>
    </w:p>
    <w:p w14:paraId="35A9BCCA">
      <w:pPr>
        <w:adjustRightInd w:val="0"/>
        <w:snapToGrid w:val="0"/>
        <w:spacing w:before="161" w:beforeLines="50" w:line="360" w:lineRule="auto"/>
        <w:ind w:firstLine="420" w:firstLineChars="200"/>
        <w:jc w:val="left"/>
        <w:rPr>
          <w:rFonts w:hint="eastAsia" w:ascii="宋体" w:hAnsi="宋体" w:eastAsia="宋体" w:cs="宋体"/>
          <w:bCs/>
          <w:szCs w:val="21"/>
        </w:rPr>
      </w:pPr>
      <w:r>
        <w:rPr>
          <w:rFonts w:hint="eastAsia" w:ascii="宋体" w:hAnsi="宋体" w:eastAsia="宋体" w:cs="宋体"/>
          <w:bCs/>
          <w:szCs w:val="21"/>
        </w:rPr>
        <w:t>2.2需落实政府采购政策（价格评审优惠）的，按第二章“投标须知”及本章第二节第5.4（1）项的相关规定进行价格调整。</w:t>
      </w:r>
    </w:p>
    <w:p w14:paraId="4BBC7137">
      <w:pPr>
        <w:adjustRightInd w:val="0"/>
        <w:snapToGrid w:val="0"/>
        <w:spacing w:before="161" w:beforeLines="50" w:line="360" w:lineRule="auto"/>
        <w:ind w:firstLine="420" w:firstLineChars="200"/>
        <w:jc w:val="left"/>
        <w:rPr>
          <w:rFonts w:hint="eastAsia" w:ascii="宋体" w:hAnsi="宋体" w:eastAsia="宋体" w:cs="宋体"/>
          <w:bCs/>
          <w:szCs w:val="21"/>
        </w:rPr>
      </w:pPr>
      <w:r>
        <w:rPr>
          <w:rFonts w:hint="eastAsia" w:ascii="宋体" w:hAnsi="宋体" w:eastAsia="宋体" w:cs="宋体"/>
          <w:bCs/>
          <w:szCs w:val="21"/>
        </w:rPr>
        <w:t>2.3按本章本节第2.1款、第2.2款规定，以修正或调整后的价格确定投标人的投标报价和评标基准价，用于投标报价评价。</w:t>
      </w:r>
    </w:p>
    <w:p w14:paraId="17503109">
      <w:pPr>
        <w:adjustRightInd w:val="0"/>
        <w:snapToGrid w:val="0"/>
        <w:spacing w:before="161" w:beforeLines="50" w:line="360" w:lineRule="auto"/>
        <w:jc w:val="left"/>
        <w:rPr>
          <w:rFonts w:hint="eastAsia" w:ascii="宋体" w:hAnsi="宋体" w:eastAsia="宋体" w:cs="宋体"/>
          <w:b/>
          <w:bCs/>
          <w:sz w:val="24"/>
        </w:rPr>
      </w:pPr>
      <w:r>
        <w:rPr>
          <w:rFonts w:hint="eastAsia" w:ascii="宋体" w:hAnsi="宋体" w:eastAsia="宋体" w:cs="宋体"/>
          <w:b/>
          <w:bCs/>
          <w:sz w:val="24"/>
        </w:rPr>
        <w:t>3.</w:t>
      </w:r>
      <w:r>
        <w:rPr>
          <w:rFonts w:hint="eastAsia" w:ascii="宋体" w:hAnsi="宋体" w:eastAsia="宋体" w:cs="宋体"/>
        </w:rPr>
        <w:t xml:space="preserve"> </w:t>
      </w:r>
      <w:r>
        <w:rPr>
          <w:rFonts w:hint="eastAsia" w:ascii="宋体" w:hAnsi="宋体" w:eastAsia="宋体" w:cs="宋体"/>
          <w:b/>
          <w:bCs/>
          <w:sz w:val="24"/>
        </w:rPr>
        <w:t>投标报价评价</w:t>
      </w:r>
    </w:p>
    <w:p w14:paraId="7A75E8E1">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3.1投标报价评价：价格分应当采用低价优先法计算，即满足招标文件要求且投标价格最低的投标报价为评标基准价，其价格分为满分（报价权重分）。其他投标人的价格分统一按照下列公式计算：</w:t>
      </w:r>
    </w:p>
    <w:p w14:paraId="1873EBF0">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投标报价得分=（评标基准价</w:t>
      </w:r>
      <w:r>
        <w:rPr>
          <w:rFonts w:hint="eastAsia" w:ascii="宋体" w:hAnsi="宋体" w:eastAsia="宋体" w:cs="宋体"/>
          <w:szCs w:val="21"/>
          <w:vertAlign w:val="subscript"/>
        </w:rPr>
        <w:t>修正或调整</w:t>
      </w:r>
      <w:r>
        <w:rPr>
          <w:rFonts w:hint="eastAsia" w:ascii="宋体" w:hAnsi="宋体" w:eastAsia="宋体" w:cs="宋体"/>
          <w:szCs w:val="21"/>
        </w:rPr>
        <w:t>／投标报价</w:t>
      </w:r>
      <w:r>
        <w:rPr>
          <w:rFonts w:hint="eastAsia" w:ascii="宋体" w:hAnsi="宋体" w:eastAsia="宋体" w:cs="宋体"/>
          <w:szCs w:val="21"/>
          <w:vertAlign w:val="subscript"/>
        </w:rPr>
        <w:t>修正或调整</w:t>
      </w:r>
      <w:r>
        <w:rPr>
          <w:rFonts w:hint="eastAsia" w:ascii="宋体" w:hAnsi="宋体" w:eastAsia="宋体" w:cs="宋体"/>
          <w:szCs w:val="21"/>
        </w:rPr>
        <w:t>） × 报价权重分</w:t>
      </w:r>
    </w:p>
    <w:p w14:paraId="322F14C1">
      <w:pPr>
        <w:adjustRightInd w:val="0"/>
        <w:snapToGrid w:val="0"/>
        <w:spacing w:before="161" w:beforeLines="50" w:line="360" w:lineRule="auto"/>
        <w:jc w:val="left"/>
        <w:rPr>
          <w:rFonts w:hint="eastAsia" w:ascii="宋体" w:hAnsi="宋体" w:eastAsia="宋体" w:cs="宋体"/>
          <w:b/>
          <w:sz w:val="24"/>
        </w:rPr>
      </w:pPr>
      <w:r>
        <w:rPr>
          <w:rFonts w:hint="eastAsia" w:ascii="宋体" w:hAnsi="宋体" w:eastAsia="宋体" w:cs="宋体"/>
          <w:b/>
          <w:sz w:val="24"/>
        </w:rPr>
        <w:t>4.商务、技术等评分项响应评价及政府采购政策加分</w:t>
      </w:r>
    </w:p>
    <w:p w14:paraId="533BFD4A">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4.1商务、技术等评分项响应评分。按</w:t>
      </w:r>
      <w:r>
        <w:rPr>
          <w:rFonts w:hint="eastAsia" w:ascii="宋体" w:hAnsi="宋体" w:eastAsia="宋体" w:cs="宋体"/>
          <w:bCs/>
          <w:szCs w:val="21"/>
        </w:rPr>
        <w:t>本章</w:t>
      </w:r>
      <w:r>
        <w:rPr>
          <w:rFonts w:hint="eastAsia" w:ascii="宋体" w:hAnsi="宋体" w:eastAsia="宋体" w:cs="宋体"/>
          <w:szCs w:val="21"/>
        </w:rPr>
        <w:t>本节附页1“评标方法及标准表”规定的评标因素和标准，对商务、技术等评分项计算得分。</w:t>
      </w:r>
    </w:p>
    <w:p w14:paraId="3F70DD2B">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4.2需落实政府采购政策（优先采购）的，按第二章、本章第二节第5.4（2）项以及本节附页1“评标方法及标准表”的相关规定进行价格、商务、技术项得分(加分)计算。</w:t>
      </w:r>
    </w:p>
    <w:p w14:paraId="67E199EE">
      <w:pPr>
        <w:adjustRightInd w:val="0"/>
        <w:snapToGrid w:val="0"/>
        <w:spacing w:before="161" w:beforeLines="50" w:line="360" w:lineRule="auto"/>
        <w:jc w:val="left"/>
        <w:rPr>
          <w:rFonts w:hint="eastAsia" w:ascii="宋体" w:hAnsi="宋体" w:eastAsia="宋体" w:cs="宋体"/>
          <w:b/>
          <w:sz w:val="24"/>
        </w:rPr>
      </w:pPr>
      <w:r>
        <w:rPr>
          <w:rFonts w:hint="eastAsia" w:ascii="宋体" w:hAnsi="宋体" w:eastAsia="宋体" w:cs="宋体"/>
          <w:b/>
          <w:sz w:val="24"/>
        </w:rPr>
        <w:t>5.评标总得分</w:t>
      </w:r>
    </w:p>
    <w:p w14:paraId="54DB1B19">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5.1评标总得分为投标报价、商务、技术等评分项得分(含优先采购政策加分)之和。</w:t>
      </w:r>
    </w:p>
    <w:p w14:paraId="74AB6D8A">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评标总得分＝A</w:t>
      </w:r>
      <w:r>
        <w:rPr>
          <w:rFonts w:hint="eastAsia" w:ascii="宋体" w:hAnsi="宋体" w:eastAsia="宋体" w:cs="宋体"/>
          <w:szCs w:val="21"/>
          <w:vertAlign w:val="subscript"/>
        </w:rPr>
        <w:t>投标报价得分</w:t>
      </w:r>
      <w:r>
        <w:rPr>
          <w:rFonts w:hint="eastAsia" w:ascii="宋体" w:hAnsi="宋体" w:eastAsia="宋体" w:cs="宋体"/>
          <w:szCs w:val="21"/>
        </w:rPr>
        <w:t>＋A</w:t>
      </w:r>
      <w:r>
        <w:rPr>
          <w:rFonts w:hint="eastAsia" w:ascii="宋体" w:hAnsi="宋体" w:eastAsia="宋体" w:cs="宋体"/>
          <w:szCs w:val="21"/>
          <w:vertAlign w:val="subscript"/>
        </w:rPr>
        <w:t>商务项得分</w:t>
      </w:r>
      <w:r>
        <w:rPr>
          <w:rFonts w:hint="eastAsia" w:ascii="宋体" w:hAnsi="宋体" w:eastAsia="宋体" w:cs="宋体"/>
          <w:szCs w:val="21"/>
        </w:rPr>
        <w:t>＋A</w:t>
      </w:r>
      <w:r>
        <w:rPr>
          <w:rFonts w:hint="eastAsia" w:ascii="宋体" w:hAnsi="宋体" w:eastAsia="宋体" w:cs="宋体"/>
          <w:szCs w:val="21"/>
          <w:vertAlign w:val="subscript"/>
        </w:rPr>
        <w:t>技术项得分</w:t>
      </w:r>
      <w:r>
        <w:rPr>
          <w:rFonts w:hint="eastAsia" w:ascii="宋体" w:hAnsi="宋体" w:eastAsia="宋体" w:cs="宋体"/>
          <w:szCs w:val="21"/>
        </w:rPr>
        <w:t>＋A</w:t>
      </w:r>
      <w:r>
        <w:rPr>
          <w:rFonts w:hint="eastAsia" w:ascii="宋体" w:hAnsi="宋体" w:eastAsia="宋体" w:cs="宋体"/>
          <w:szCs w:val="21"/>
          <w:vertAlign w:val="subscript"/>
        </w:rPr>
        <w:t>优先采购加分</w:t>
      </w:r>
    </w:p>
    <w:p w14:paraId="6F9630B4">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5.2评分分值计算保留小数点后两位，小数点后第三位“四舍五入”。</w:t>
      </w:r>
    </w:p>
    <w:p w14:paraId="6FD7670B">
      <w:pPr>
        <w:adjustRightInd w:val="0"/>
        <w:snapToGrid w:val="0"/>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kern w:val="0"/>
          <w:szCs w:val="21"/>
        </w:rPr>
        <w:t>5.3</w:t>
      </w:r>
      <w:r>
        <w:rPr>
          <w:rFonts w:hint="eastAsia" w:ascii="宋体" w:hAnsi="宋体" w:eastAsia="宋体" w:cs="宋体"/>
          <w:szCs w:val="21"/>
        </w:rPr>
        <w:t>评标时，评标委员会成员应当独立对满足招标文件全部实质性要求投标人的</w:t>
      </w:r>
      <w:r>
        <w:rPr>
          <w:rFonts w:hint="eastAsia" w:ascii="宋体" w:hAnsi="宋体" w:eastAsia="宋体" w:cs="宋体"/>
          <w:bCs/>
          <w:szCs w:val="21"/>
        </w:rPr>
        <w:t>投标文件</w:t>
      </w:r>
      <w:r>
        <w:rPr>
          <w:rFonts w:hint="eastAsia" w:ascii="宋体" w:hAnsi="宋体" w:eastAsia="宋体" w:cs="宋体"/>
          <w:szCs w:val="21"/>
        </w:rPr>
        <w:t>进行评价、评分，然后汇总每个投标人每项评分因素的得分。每个投标人的最终得分为所有评标委员会成员评分的算术平均值。</w:t>
      </w:r>
    </w:p>
    <w:p w14:paraId="3599025D">
      <w:pPr>
        <w:adjustRightInd w:val="0"/>
        <w:snapToGrid w:val="0"/>
        <w:spacing w:before="161" w:beforeLines="50" w:line="360" w:lineRule="auto"/>
        <w:jc w:val="left"/>
        <w:rPr>
          <w:rFonts w:hint="eastAsia" w:ascii="宋体" w:hAnsi="宋体" w:eastAsia="宋体" w:cs="宋体"/>
          <w:b/>
          <w:bCs/>
          <w:sz w:val="24"/>
        </w:rPr>
      </w:pPr>
      <w:r>
        <w:rPr>
          <w:rFonts w:hint="eastAsia" w:ascii="宋体" w:hAnsi="宋体" w:eastAsia="宋体" w:cs="宋体"/>
          <w:b/>
          <w:bCs/>
          <w:sz w:val="24"/>
        </w:rPr>
        <w:t>6.中标候选人的推荐方法</w:t>
      </w:r>
    </w:p>
    <w:p w14:paraId="49FC7CE1">
      <w:pPr>
        <w:adjustRightInd w:val="0"/>
        <w:snapToGrid w:val="0"/>
        <w:spacing w:before="161" w:beforeLines="50" w:line="360" w:lineRule="auto"/>
        <w:ind w:firstLine="420" w:firstLineChars="200"/>
        <w:jc w:val="left"/>
        <w:rPr>
          <w:rFonts w:hint="eastAsia" w:ascii="宋体" w:hAnsi="宋体" w:eastAsia="宋体" w:cs="宋体"/>
          <w:bCs/>
          <w:szCs w:val="21"/>
        </w:rPr>
      </w:pPr>
      <w:r>
        <w:rPr>
          <w:rFonts w:hint="eastAsia" w:ascii="宋体" w:hAnsi="宋体" w:eastAsia="宋体" w:cs="宋体"/>
          <w:bCs/>
          <w:szCs w:val="21"/>
        </w:rPr>
        <w:t>6.1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764FAE6F">
      <w:pPr>
        <w:adjustRightInd w:val="0"/>
        <w:snapToGrid w:val="0"/>
        <w:spacing w:before="161" w:beforeLines="50" w:line="360" w:lineRule="auto"/>
        <w:ind w:firstLine="420" w:firstLineChars="200"/>
        <w:jc w:val="left"/>
        <w:rPr>
          <w:rFonts w:hint="eastAsia" w:ascii="宋体" w:hAnsi="宋体" w:eastAsia="宋体" w:cs="宋体"/>
          <w:bCs/>
          <w:szCs w:val="21"/>
        </w:rPr>
      </w:pPr>
      <w:r>
        <w:rPr>
          <w:rFonts w:hint="eastAsia" w:ascii="宋体" w:hAnsi="宋体" w:eastAsia="宋体" w:cs="宋体"/>
          <w:bCs/>
          <w:szCs w:val="21"/>
        </w:rPr>
        <w:t>6.2得分且投标报价相同的并列，按本章第二节规定确定中标候选人。</w:t>
      </w:r>
    </w:p>
    <w:p w14:paraId="69E3CB56">
      <w:pPr>
        <w:adjustRightInd w:val="0"/>
        <w:snapToGrid w:val="0"/>
        <w:spacing w:before="161" w:beforeLines="50" w:line="360" w:lineRule="auto"/>
        <w:ind w:firstLine="420" w:firstLineChars="200"/>
        <w:jc w:val="left"/>
        <w:rPr>
          <w:rFonts w:hint="eastAsia" w:ascii="宋体" w:hAnsi="宋体" w:eastAsia="宋体" w:cs="宋体"/>
          <w:bCs/>
          <w:szCs w:val="21"/>
        </w:rPr>
      </w:pPr>
    </w:p>
    <w:p w14:paraId="62FC9B8D">
      <w:pPr>
        <w:widowControl/>
        <w:jc w:val="left"/>
        <w:rPr>
          <w:rFonts w:hint="eastAsia" w:ascii="宋体" w:hAnsi="宋体" w:eastAsia="宋体" w:cs="宋体"/>
          <w:bCs/>
          <w:szCs w:val="21"/>
        </w:rPr>
      </w:pPr>
      <w:r>
        <w:rPr>
          <w:rFonts w:hint="eastAsia" w:ascii="宋体" w:hAnsi="宋体" w:eastAsia="宋体" w:cs="宋体"/>
          <w:bCs/>
          <w:szCs w:val="21"/>
        </w:rPr>
        <w:br w:type="page"/>
      </w:r>
    </w:p>
    <w:p w14:paraId="0FE84CFD">
      <w:pPr>
        <w:keepNext/>
        <w:keepLines/>
        <w:widowControl w:val="0"/>
        <w:adjustRightInd w:val="0"/>
        <w:snapToGrid w:val="0"/>
        <w:spacing w:before="161" w:beforeLines="50" w:after="0" w:line="360" w:lineRule="auto"/>
        <w:jc w:val="both"/>
        <w:outlineLvl w:val="2"/>
        <w:rPr>
          <w:rFonts w:hint="eastAsia" w:ascii="宋体" w:hAnsi="宋体" w:eastAsia="宋体" w:cs="宋体"/>
          <w:b/>
          <w:bCs/>
          <w:kern w:val="2"/>
          <w:sz w:val="21"/>
          <w:szCs w:val="21"/>
          <w:lang w:val="en-US" w:eastAsia="zh-CN" w:bidi="ar-SA"/>
        </w:rPr>
      </w:pPr>
      <w:bookmarkStart w:id="105" w:name="_Toc10462"/>
      <w:r>
        <w:rPr>
          <w:rFonts w:hint="eastAsia" w:ascii="宋体" w:hAnsi="宋体" w:eastAsia="宋体" w:cs="宋体"/>
          <w:b/>
          <w:bCs/>
          <w:kern w:val="2"/>
          <w:sz w:val="21"/>
          <w:szCs w:val="21"/>
          <w:lang w:val="en-US" w:eastAsia="zh-CN" w:bidi="ar-SA"/>
        </w:rPr>
        <w:t>附页1 评标方法及标准表</w:t>
      </w:r>
      <w:bookmarkEnd w:id="105"/>
    </w:p>
    <w:p w14:paraId="5DDE3470">
      <w:pPr>
        <w:spacing w:before="96" w:beforeLines="30" w:after="96" w:afterLines="30"/>
        <w:jc w:val="center"/>
        <w:rPr>
          <w:rFonts w:hint="eastAsia" w:ascii="宋体" w:hAnsi="宋体" w:eastAsia="宋体" w:cs="宋体"/>
          <w:b/>
        </w:rPr>
      </w:pPr>
      <w:r>
        <w:rPr>
          <w:rFonts w:hint="eastAsia" w:ascii="宋体" w:hAnsi="宋体" w:eastAsia="宋体" w:cs="宋体"/>
          <w:b/>
        </w:rPr>
        <w:t>附表 1、包1的权值见下表</w:t>
      </w:r>
    </w:p>
    <w:tbl>
      <w:tblPr>
        <w:tblStyle w:val="3"/>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4620"/>
        <w:gridCol w:w="3487"/>
      </w:tblGrid>
      <w:tr w14:paraId="1C4077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40" w:type="dxa"/>
            <w:tcBorders>
              <w:tl2br w:val="nil"/>
              <w:tr2bl w:val="nil"/>
            </w:tcBorders>
            <w:vAlign w:val="center"/>
          </w:tcPr>
          <w:p w14:paraId="308EA52C">
            <w:pPr>
              <w:jc w:val="center"/>
              <w:rPr>
                <w:rFonts w:hint="eastAsia" w:ascii="宋体" w:hAnsi="宋体" w:eastAsia="宋体" w:cs="宋体"/>
                <w:b/>
                <w:bCs/>
                <w:sz w:val="18"/>
                <w:szCs w:val="18"/>
              </w:rPr>
            </w:pPr>
            <w:r>
              <w:rPr>
                <w:rFonts w:hint="eastAsia" w:ascii="宋体" w:hAnsi="宋体" w:eastAsia="宋体" w:cs="宋体"/>
                <w:b/>
                <w:bCs/>
                <w:sz w:val="18"/>
                <w:szCs w:val="18"/>
              </w:rPr>
              <w:t>序号</w:t>
            </w:r>
          </w:p>
        </w:tc>
        <w:tc>
          <w:tcPr>
            <w:tcW w:w="4620" w:type="dxa"/>
            <w:tcBorders>
              <w:tl2br w:val="nil"/>
              <w:tr2bl w:val="nil"/>
            </w:tcBorders>
            <w:vAlign w:val="center"/>
          </w:tcPr>
          <w:p w14:paraId="6B6365D1">
            <w:pPr>
              <w:jc w:val="center"/>
              <w:rPr>
                <w:rFonts w:hint="eastAsia" w:ascii="宋体" w:hAnsi="宋体" w:eastAsia="宋体" w:cs="宋体"/>
                <w:b/>
                <w:bCs/>
                <w:sz w:val="18"/>
                <w:szCs w:val="18"/>
              </w:rPr>
            </w:pPr>
            <w:r>
              <w:rPr>
                <w:rFonts w:hint="eastAsia" w:ascii="宋体" w:hAnsi="宋体" w:eastAsia="宋体" w:cs="宋体"/>
                <w:b/>
                <w:bCs/>
                <w:sz w:val="18"/>
                <w:szCs w:val="18"/>
              </w:rPr>
              <w:t>项</w:t>
            </w:r>
            <w:r>
              <w:rPr>
                <w:rFonts w:hint="eastAsia" w:ascii="宋体" w:hAnsi="宋体" w:eastAsia="宋体" w:cs="宋体"/>
                <w:b/>
                <w:bCs/>
                <w:sz w:val="18"/>
                <w:szCs w:val="18"/>
              </w:rPr>
              <w:tab/>
            </w:r>
            <w:r>
              <w:rPr>
                <w:rFonts w:hint="eastAsia" w:ascii="宋体" w:hAnsi="宋体" w:eastAsia="宋体" w:cs="宋体"/>
                <w:b/>
                <w:bCs/>
                <w:sz w:val="18"/>
                <w:szCs w:val="18"/>
              </w:rPr>
              <w:t>目</w:t>
            </w:r>
          </w:p>
        </w:tc>
        <w:tc>
          <w:tcPr>
            <w:tcW w:w="3487" w:type="dxa"/>
            <w:tcBorders>
              <w:tl2br w:val="nil"/>
              <w:tr2bl w:val="nil"/>
            </w:tcBorders>
            <w:vAlign w:val="center"/>
          </w:tcPr>
          <w:p w14:paraId="5F460526">
            <w:pPr>
              <w:jc w:val="center"/>
              <w:rPr>
                <w:rFonts w:hint="eastAsia" w:ascii="宋体" w:hAnsi="宋体" w:eastAsia="宋体" w:cs="宋体"/>
                <w:b/>
                <w:bCs/>
                <w:sz w:val="18"/>
                <w:szCs w:val="18"/>
              </w:rPr>
            </w:pPr>
            <w:r>
              <w:rPr>
                <w:rFonts w:hint="eastAsia" w:ascii="宋体" w:hAnsi="宋体" w:eastAsia="宋体" w:cs="宋体"/>
                <w:b/>
                <w:bCs/>
                <w:sz w:val="18"/>
                <w:szCs w:val="18"/>
              </w:rPr>
              <w:t>权值的取值</w:t>
            </w:r>
          </w:p>
        </w:tc>
      </w:tr>
      <w:tr w14:paraId="2CF4B3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40" w:type="dxa"/>
            <w:tcBorders>
              <w:tl2br w:val="nil"/>
              <w:tr2bl w:val="nil"/>
            </w:tcBorders>
            <w:vAlign w:val="center"/>
          </w:tcPr>
          <w:p w14:paraId="702E4992">
            <w:pPr>
              <w:jc w:val="center"/>
              <w:rPr>
                <w:rFonts w:hint="eastAsia" w:ascii="宋体" w:hAnsi="宋体" w:eastAsia="宋体" w:cs="宋体"/>
                <w:sz w:val="18"/>
                <w:szCs w:val="18"/>
              </w:rPr>
            </w:pPr>
            <w:r>
              <w:rPr>
                <w:rFonts w:hint="eastAsia" w:ascii="宋体" w:hAnsi="宋体" w:eastAsia="宋体" w:cs="宋体"/>
                <w:sz w:val="18"/>
                <w:szCs w:val="18"/>
              </w:rPr>
              <w:t>1</w:t>
            </w:r>
          </w:p>
        </w:tc>
        <w:tc>
          <w:tcPr>
            <w:tcW w:w="4620" w:type="dxa"/>
            <w:tcBorders>
              <w:tl2br w:val="nil"/>
              <w:tr2bl w:val="nil"/>
            </w:tcBorders>
            <w:vAlign w:val="center"/>
          </w:tcPr>
          <w:p w14:paraId="3AC95C80">
            <w:pPr>
              <w:jc w:val="center"/>
              <w:rPr>
                <w:rFonts w:hint="eastAsia" w:ascii="宋体" w:hAnsi="宋体" w:eastAsia="宋体" w:cs="宋体"/>
                <w:sz w:val="18"/>
                <w:szCs w:val="18"/>
              </w:rPr>
            </w:pPr>
            <w:r>
              <w:rPr>
                <w:rFonts w:hint="eastAsia" w:ascii="宋体" w:hAnsi="宋体" w:eastAsia="宋体" w:cs="宋体"/>
                <w:sz w:val="18"/>
                <w:szCs w:val="18"/>
              </w:rPr>
              <w:t>报价（A1）</w:t>
            </w:r>
          </w:p>
        </w:tc>
        <w:tc>
          <w:tcPr>
            <w:tcW w:w="3487" w:type="dxa"/>
            <w:tcBorders>
              <w:tl2br w:val="nil"/>
              <w:tr2bl w:val="nil"/>
            </w:tcBorders>
            <w:vAlign w:val="center"/>
          </w:tcPr>
          <w:p w14:paraId="59EE7B15">
            <w:pPr>
              <w:jc w:val="center"/>
              <w:rPr>
                <w:rFonts w:hint="eastAsia" w:ascii="宋体" w:hAnsi="宋体" w:eastAsia="宋体" w:cs="宋体"/>
                <w:sz w:val="18"/>
                <w:szCs w:val="18"/>
              </w:rPr>
            </w:pPr>
            <w:r>
              <w:rPr>
                <w:rFonts w:hint="eastAsia" w:ascii="宋体" w:hAnsi="宋体" w:eastAsia="宋体" w:cs="宋体"/>
                <w:sz w:val="18"/>
                <w:szCs w:val="18"/>
              </w:rPr>
              <w:t>0.40</w:t>
            </w:r>
          </w:p>
        </w:tc>
      </w:tr>
      <w:tr w14:paraId="5AA313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40" w:type="dxa"/>
            <w:tcBorders>
              <w:tl2br w:val="nil"/>
              <w:tr2bl w:val="nil"/>
            </w:tcBorders>
            <w:vAlign w:val="center"/>
          </w:tcPr>
          <w:p w14:paraId="429C5A58">
            <w:pPr>
              <w:jc w:val="center"/>
              <w:rPr>
                <w:rFonts w:hint="eastAsia" w:ascii="宋体" w:hAnsi="宋体" w:eastAsia="宋体" w:cs="宋体"/>
                <w:sz w:val="18"/>
                <w:szCs w:val="18"/>
              </w:rPr>
            </w:pPr>
            <w:r>
              <w:rPr>
                <w:rFonts w:hint="eastAsia" w:ascii="宋体" w:hAnsi="宋体" w:eastAsia="宋体" w:cs="宋体"/>
                <w:sz w:val="18"/>
                <w:szCs w:val="18"/>
              </w:rPr>
              <w:t>2</w:t>
            </w:r>
          </w:p>
        </w:tc>
        <w:tc>
          <w:tcPr>
            <w:tcW w:w="4620" w:type="dxa"/>
            <w:tcBorders>
              <w:tl2br w:val="nil"/>
              <w:tr2bl w:val="nil"/>
            </w:tcBorders>
            <w:vAlign w:val="center"/>
          </w:tcPr>
          <w:p w14:paraId="0342AB8D">
            <w:pPr>
              <w:jc w:val="center"/>
              <w:rPr>
                <w:rFonts w:hint="eastAsia" w:ascii="宋体" w:hAnsi="宋体" w:eastAsia="宋体" w:cs="宋体"/>
                <w:sz w:val="18"/>
                <w:szCs w:val="18"/>
              </w:rPr>
            </w:pPr>
            <w:r>
              <w:rPr>
                <w:rFonts w:hint="eastAsia" w:ascii="宋体" w:hAnsi="宋体" w:eastAsia="宋体" w:cs="宋体"/>
                <w:sz w:val="18"/>
                <w:szCs w:val="18"/>
              </w:rPr>
              <w:t>商务（A2）</w:t>
            </w:r>
          </w:p>
        </w:tc>
        <w:tc>
          <w:tcPr>
            <w:tcW w:w="3487" w:type="dxa"/>
            <w:tcBorders>
              <w:tl2br w:val="nil"/>
              <w:tr2bl w:val="nil"/>
            </w:tcBorders>
            <w:vAlign w:val="center"/>
          </w:tcPr>
          <w:p w14:paraId="2FBC01F0">
            <w:pPr>
              <w:jc w:val="center"/>
              <w:rPr>
                <w:rFonts w:hint="eastAsia" w:ascii="宋体" w:hAnsi="宋体" w:eastAsia="宋体" w:cs="宋体"/>
                <w:sz w:val="18"/>
                <w:szCs w:val="18"/>
              </w:rPr>
            </w:pPr>
            <w:r>
              <w:rPr>
                <w:rFonts w:hint="eastAsia" w:ascii="宋体" w:hAnsi="宋体" w:eastAsia="宋体" w:cs="宋体"/>
                <w:sz w:val="18"/>
                <w:szCs w:val="18"/>
              </w:rPr>
              <w:t>0.20</w:t>
            </w:r>
          </w:p>
        </w:tc>
      </w:tr>
      <w:tr w14:paraId="5C67DC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40" w:type="dxa"/>
            <w:tcBorders>
              <w:tl2br w:val="nil"/>
              <w:tr2bl w:val="nil"/>
            </w:tcBorders>
            <w:vAlign w:val="center"/>
          </w:tcPr>
          <w:p w14:paraId="3D21B9A5">
            <w:pPr>
              <w:jc w:val="center"/>
              <w:rPr>
                <w:rFonts w:hint="eastAsia" w:ascii="宋体" w:hAnsi="宋体" w:eastAsia="宋体" w:cs="宋体"/>
                <w:sz w:val="18"/>
                <w:szCs w:val="18"/>
              </w:rPr>
            </w:pPr>
            <w:r>
              <w:rPr>
                <w:rFonts w:hint="eastAsia" w:ascii="宋体" w:hAnsi="宋体" w:eastAsia="宋体" w:cs="宋体"/>
                <w:sz w:val="18"/>
                <w:szCs w:val="18"/>
              </w:rPr>
              <w:t>3</w:t>
            </w:r>
          </w:p>
        </w:tc>
        <w:tc>
          <w:tcPr>
            <w:tcW w:w="4620" w:type="dxa"/>
            <w:tcBorders>
              <w:tl2br w:val="nil"/>
              <w:tr2bl w:val="nil"/>
            </w:tcBorders>
            <w:vAlign w:val="center"/>
          </w:tcPr>
          <w:p w14:paraId="51DBD4EB">
            <w:pPr>
              <w:jc w:val="center"/>
              <w:rPr>
                <w:rFonts w:hint="eastAsia" w:ascii="宋体" w:hAnsi="宋体" w:eastAsia="宋体" w:cs="宋体"/>
                <w:sz w:val="18"/>
                <w:szCs w:val="18"/>
              </w:rPr>
            </w:pPr>
            <w:r>
              <w:rPr>
                <w:rFonts w:hint="eastAsia" w:ascii="宋体" w:hAnsi="宋体" w:eastAsia="宋体" w:cs="宋体"/>
                <w:sz w:val="18"/>
                <w:szCs w:val="18"/>
              </w:rPr>
              <w:t>技术（A3）</w:t>
            </w:r>
          </w:p>
        </w:tc>
        <w:tc>
          <w:tcPr>
            <w:tcW w:w="3487" w:type="dxa"/>
            <w:tcBorders>
              <w:tl2br w:val="nil"/>
              <w:tr2bl w:val="nil"/>
            </w:tcBorders>
            <w:vAlign w:val="center"/>
          </w:tcPr>
          <w:p w14:paraId="79841D60">
            <w:pPr>
              <w:jc w:val="center"/>
              <w:rPr>
                <w:rFonts w:hint="eastAsia" w:ascii="宋体" w:hAnsi="宋体" w:eastAsia="宋体" w:cs="宋体"/>
                <w:sz w:val="18"/>
                <w:szCs w:val="18"/>
              </w:rPr>
            </w:pPr>
            <w:r>
              <w:rPr>
                <w:rFonts w:hint="eastAsia" w:ascii="宋体" w:hAnsi="宋体" w:eastAsia="宋体" w:cs="宋体"/>
                <w:sz w:val="18"/>
                <w:szCs w:val="18"/>
              </w:rPr>
              <w:t>0.40</w:t>
            </w:r>
          </w:p>
        </w:tc>
      </w:tr>
      <w:tr w14:paraId="0C3476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5460" w:type="dxa"/>
            <w:gridSpan w:val="2"/>
            <w:tcBorders>
              <w:tl2br w:val="nil"/>
              <w:tr2bl w:val="nil"/>
            </w:tcBorders>
            <w:vAlign w:val="center"/>
          </w:tcPr>
          <w:p w14:paraId="1777286F">
            <w:pPr>
              <w:jc w:val="center"/>
              <w:rPr>
                <w:rFonts w:hint="eastAsia" w:ascii="宋体" w:hAnsi="宋体" w:eastAsia="宋体" w:cs="宋体"/>
                <w:sz w:val="18"/>
                <w:szCs w:val="18"/>
              </w:rPr>
            </w:pPr>
            <w:r>
              <w:rPr>
                <w:rFonts w:hint="eastAsia" w:ascii="宋体" w:hAnsi="宋体" w:eastAsia="宋体" w:cs="宋体"/>
                <w:sz w:val="18"/>
                <w:szCs w:val="18"/>
              </w:rPr>
              <w:t>合计</w:t>
            </w:r>
          </w:p>
        </w:tc>
        <w:tc>
          <w:tcPr>
            <w:tcW w:w="3487" w:type="dxa"/>
            <w:tcBorders>
              <w:tl2br w:val="nil"/>
              <w:tr2bl w:val="nil"/>
            </w:tcBorders>
            <w:vAlign w:val="center"/>
          </w:tcPr>
          <w:p w14:paraId="5156DBA0">
            <w:pPr>
              <w:jc w:val="center"/>
              <w:rPr>
                <w:rFonts w:hint="eastAsia" w:ascii="宋体" w:hAnsi="宋体" w:eastAsia="宋体" w:cs="宋体"/>
                <w:sz w:val="18"/>
                <w:szCs w:val="18"/>
              </w:rPr>
            </w:pPr>
            <w:r>
              <w:rPr>
                <w:rFonts w:hint="eastAsia" w:ascii="宋体" w:hAnsi="宋体" w:eastAsia="宋体" w:cs="宋体"/>
                <w:sz w:val="18"/>
                <w:szCs w:val="18"/>
              </w:rPr>
              <w:t>1.00</w:t>
            </w:r>
          </w:p>
        </w:tc>
      </w:tr>
    </w:tbl>
    <w:p w14:paraId="53C20D00">
      <w:pPr>
        <w:spacing w:after="120"/>
        <w:ind w:left="420" w:leftChars="200" w:firstLine="420" w:firstLineChars="200"/>
        <w:rPr>
          <w:rFonts w:ascii="Times New Roman" w:hAnsi="Times New Roman" w:eastAsia="宋体" w:cs="Times New Roman"/>
        </w:rPr>
      </w:pPr>
    </w:p>
    <w:p w14:paraId="5679A2B9">
      <w:pPr>
        <w:rPr>
          <w:rFonts w:hint="eastAsia" w:ascii="宋体" w:hAnsi="宋体" w:eastAsia="宋体" w:cs="宋体"/>
          <w:b/>
        </w:rPr>
      </w:pPr>
      <w:r>
        <w:rPr>
          <w:rFonts w:hint="eastAsia" w:ascii="宋体" w:hAnsi="宋体" w:eastAsia="宋体" w:cs="宋体"/>
          <w:b/>
        </w:rPr>
        <w:br w:type="page"/>
      </w:r>
    </w:p>
    <w:p w14:paraId="1364785D">
      <w:pPr>
        <w:spacing w:before="96" w:beforeLines="30" w:after="96" w:afterLines="30" w:line="360" w:lineRule="auto"/>
        <w:jc w:val="center"/>
        <w:rPr>
          <w:rFonts w:hint="eastAsia" w:ascii="宋体" w:hAnsi="宋体" w:eastAsia="宋体" w:cs="宋体"/>
          <w:b/>
        </w:rPr>
      </w:pPr>
      <w:r>
        <w:rPr>
          <w:rFonts w:hint="eastAsia" w:ascii="宋体" w:hAnsi="宋体" w:eastAsia="宋体" w:cs="宋体"/>
          <w:b/>
        </w:rPr>
        <w:t>附表 1.1 包1投标报价评审标准表</w:t>
      </w:r>
    </w:p>
    <w:tbl>
      <w:tblPr>
        <w:tblStyle w:val="3"/>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40"/>
        <w:gridCol w:w="2110"/>
        <w:gridCol w:w="5772"/>
      </w:tblGrid>
      <w:tr w14:paraId="0D9032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7" w:hRule="exact"/>
        </w:trPr>
        <w:tc>
          <w:tcPr>
            <w:tcW w:w="640" w:type="dxa"/>
            <w:tcBorders>
              <w:tl2br w:val="nil"/>
              <w:tr2bl w:val="nil"/>
            </w:tcBorders>
            <w:vAlign w:val="center"/>
          </w:tcPr>
          <w:p w14:paraId="106A4382">
            <w:pPr>
              <w:jc w:val="center"/>
              <w:rPr>
                <w:rFonts w:hint="eastAsia" w:ascii="宋体" w:hAnsi="宋体" w:eastAsia="宋体" w:cs="宋体"/>
                <w:b/>
                <w:bCs/>
                <w:sz w:val="18"/>
                <w:szCs w:val="18"/>
              </w:rPr>
            </w:pPr>
            <w:r>
              <w:rPr>
                <w:rFonts w:hint="eastAsia" w:ascii="宋体" w:hAnsi="宋体" w:eastAsia="宋体" w:cs="宋体"/>
                <w:b/>
                <w:bCs/>
                <w:sz w:val="18"/>
                <w:szCs w:val="18"/>
              </w:rPr>
              <w:t>序号</w:t>
            </w:r>
          </w:p>
        </w:tc>
        <w:tc>
          <w:tcPr>
            <w:tcW w:w="2110" w:type="dxa"/>
            <w:tcBorders>
              <w:tl2br w:val="nil"/>
              <w:tr2bl w:val="nil"/>
            </w:tcBorders>
            <w:vAlign w:val="center"/>
          </w:tcPr>
          <w:p w14:paraId="57AC7CC9">
            <w:pPr>
              <w:jc w:val="center"/>
              <w:rPr>
                <w:rFonts w:hint="eastAsia" w:ascii="宋体" w:hAnsi="宋体" w:eastAsia="宋体" w:cs="宋体"/>
                <w:b/>
                <w:bCs/>
                <w:sz w:val="18"/>
                <w:szCs w:val="18"/>
              </w:rPr>
            </w:pPr>
            <w:r>
              <w:rPr>
                <w:rFonts w:hint="eastAsia" w:ascii="宋体" w:hAnsi="宋体" w:eastAsia="宋体" w:cs="宋体"/>
                <w:b/>
                <w:bCs/>
                <w:sz w:val="18"/>
                <w:szCs w:val="18"/>
              </w:rPr>
              <w:t>评标因素（权重分）</w:t>
            </w:r>
          </w:p>
        </w:tc>
        <w:tc>
          <w:tcPr>
            <w:tcW w:w="5772" w:type="dxa"/>
            <w:tcBorders>
              <w:tl2br w:val="nil"/>
              <w:tr2bl w:val="nil"/>
            </w:tcBorders>
            <w:vAlign w:val="center"/>
          </w:tcPr>
          <w:p w14:paraId="0F3C0B75">
            <w:pPr>
              <w:jc w:val="center"/>
              <w:rPr>
                <w:rFonts w:hint="eastAsia" w:ascii="宋体" w:hAnsi="宋体" w:eastAsia="宋体" w:cs="宋体"/>
                <w:b/>
                <w:bCs/>
                <w:sz w:val="18"/>
                <w:szCs w:val="18"/>
              </w:rPr>
            </w:pPr>
            <w:r>
              <w:rPr>
                <w:rFonts w:hint="eastAsia" w:ascii="宋体" w:hAnsi="宋体" w:eastAsia="宋体" w:cs="宋体"/>
                <w:b/>
                <w:bCs/>
                <w:sz w:val="18"/>
                <w:szCs w:val="18"/>
              </w:rPr>
              <w:t>评标标准</w:t>
            </w:r>
          </w:p>
        </w:tc>
      </w:tr>
      <w:tr w14:paraId="050652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84" w:hRule="atLeast"/>
        </w:trPr>
        <w:tc>
          <w:tcPr>
            <w:tcW w:w="640" w:type="dxa"/>
            <w:tcBorders>
              <w:tl2br w:val="nil"/>
              <w:tr2bl w:val="nil"/>
            </w:tcBorders>
            <w:vAlign w:val="center"/>
          </w:tcPr>
          <w:p w14:paraId="6FE32FFC">
            <w:pPr>
              <w:jc w:val="center"/>
              <w:rPr>
                <w:rFonts w:hint="eastAsia" w:ascii="宋体" w:hAnsi="宋体" w:eastAsia="宋体" w:cs="宋体"/>
                <w:sz w:val="18"/>
                <w:szCs w:val="18"/>
              </w:rPr>
            </w:pPr>
            <w:r>
              <w:rPr>
                <w:rFonts w:hint="eastAsia" w:ascii="宋体" w:hAnsi="宋体" w:eastAsia="宋体" w:cs="宋体"/>
                <w:sz w:val="18"/>
                <w:szCs w:val="18"/>
              </w:rPr>
              <w:t>1</w:t>
            </w:r>
          </w:p>
        </w:tc>
        <w:tc>
          <w:tcPr>
            <w:tcW w:w="2110" w:type="dxa"/>
            <w:tcBorders>
              <w:tl2br w:val="nil"/>
              <w:tr2bl w:val="nil"/>
            </w:tcBorders>
            <w:vAlign w:val="center"/>
          </w:tcPr>
          <w:p w14:paraId="79B4C5BD">
            <w:pPr>
              <w:jc w:val="center"/>
              <w:rPr>
                <w:rFonts w:hint="eastAsia" w:ascii="宋体" w:hAnsi="宋体" w:eastAsia="宋体" w:cs="宋体"/>
                <w:sz w:val="18"/>
                <w:szCs w:val="18"/>
              </w:rPr>
            </w:pPr>
            <w:r>
              <w:rPr>
                <w:rFonts w:hint="eastAsia" w:ascii="宋体" w:hAnsi="宋体" w:eastAsia="宋体" w:cs="宋体"/>
                <w:sz w:val="18"/>
                <w:szCs w:val="18"/>
              </w:rPr>
              <w:t>价格评价项</w:t>
            </w:r>
          </w:p>
          <w:p w14:paraId="2712D2C8">
            <w:pPr>
              <w:jc w:val="center"/>
              <w:rPr>
                <w:rFonts w:hint="eastAsia" w:ascii="宋体" w:hAnsi="宋体" w:eastAsia="宋体" w:cs="宋体"/>
                <w:sz w:val="18"/>
                <w:szCs w:val="18"/>
              </w:rPr>
            </w:pPr>
            <w:r>
              <w:rPr>
                <w:rFonts w:hint="eastAsia" w:ascii="宋体" w:hAnsi="宋体" w:eastAsia="宋体" w:cs="宋体"/>
                <w:sz w:val="18"/>
                <w:szCs w:val="18"/>
              </w:rPr>
              <w:t>（F=100 分）</w:t>
            </w:r>
          </w:p>
        </w:tc>
        <w:tc>
          <w:tcPr>
            <w:tcW w:w="5772" w:type="dxa"/>
            <w:tcBorders>
              <w:tl2br w:val="nil"/>
              <w:tr2bl w:val="nil"/>
            </w:tcBorders>
            <w:vAlign w:val="center"/>
          </w:tcPr>
          <w:p w14:paraId="182D0485">
            <w:pPr>
              <w:spacing w:before="42"/>
              <w:ind w:firstLine="328" w:firstLineChars="200"/>
              <w:rPr>
                <w:rFonts w:hint="eastAsia" w:ascii="宋体" w:hAnsi="宋体" w:eastAsia="宋体" w:cs="宋体"/>
                <w:sz w:val="18"/>
                <w:lang w:val="zh-CN" w:bidi="zh-CN"/>
              </w:rPr>
            </w:pPr>
            <w:bookmarkStart w:id="106" w:name="OLE_LINK189"/>
            <w:r>
              <w:rPr>
                <w:rFonts w:hint="eastAsia" w:ascii="宋体" w:hAnsi="宋体" w:eastAsia="宋体" w:cs="宋体"/>
                <w:spacing w:val="-8"/>
                <w:sz w:val="18"/>
                <w:lang w:val="zh-CN" w:bidi="zh-CN"/>
              </w:rPr>
              <w:t>满足招标文件要求且投标价格最低的投标报价为评标基准价，投标报价得分=</w:t>
            </w:r>
            <w:r>
              <w:rPr>
                <w:rFonts w:hint="eastAsia" w:ascii="宋体" w:hAnsi="宋体" w:eastAsia="宋体" w:cs="宋体"/>
                <w:spacing w:val="-3"/>
                <w:sz w:val="18"/>
                <w:lang w:val="zh-CN" w:bidi="zh-CN"/>
              </w:rPr>
              <w:t>（</w:t>
            </w:r>
            <w:r>
              <w:rPr>
                <w:rFonts w:hint="eastAsia" w:ascii="宋体" w:hAnsi="宋体" w:eastAsia="宋体" w:cs="宋体"/>
                <w:sz w:val="18"/>
                <w:lang w:val="zh-CN" w:bidi="zh-CN"/>
              </w:rPr>
              <w:t>评标基准价</w:t>
            </w:r>
            <w:r>
              <w:rPr>
                <w:rFonts w:hint="eastAsia" w:ascii="宋体" w:hAnsi="宋体" w:eastAsia="宋体" w:cs="宋体"/>
                <w:position w:val="-2"/>
                <w:sz w:val="9"/>
                <w:lang w:val="zh-CN" w:bidi="zh-CN"/>
              </w:rPr>
              <w:t>修正或调整</w:t>
            </w:r>
            <w:r>
              <w:rPr>
                <w:rFonts w:hint="eastAsia" w:ascii="宋体" w:hAnsi="宋体" w:eastAsia="宋体" w:cs="宋体"/>
                <w:sz w:val="18"/>
                <w:lang w:val="zh-CN" w:bidi="zh-CN"/>
              </w:rPr>
              <w:t>／投标报价</w:t>
            </w:r>
            <w:r>
              <w:rPr>
                <w:rFonts w:hint="eastAsia" w:ascii="宋体" w:hAnsi="宋体" w:eastAsia="宋体" w:cs="宋体"/>
                <w:position w:val="-2"/>
                <w:sz w:val="9"/>
                <w:lang w:val="zh-CN" w:bidi="zh-CN"/>
              </w:rPr>
              <w:t>修正或调整</w:t>
            </w:r>
            <w:r>
              <w:rPr>
                <w:rFonts w:hint="eastAsia" w:ascii="宋体" w:hAnsi="宋体" w:eastAsia="宋体" w:cs="宋体"/>
                <w:sz w:val="18"/>
                <w:lang w:val="zh-CN" w:bidi="zh-CN"/>
              </w:rPr>
              <w:t>）×100 分。</w:t>
            </w:r>
          </w:p>
          <w:p w14:paraId="12132F32">
            <w:pPr>
              <w:ind w:firstLine="360" w:firstLineChars="200"/>
              <w:rPr>
                <w:rFonts w:hint="eastAsia" w:ascii="宋体" w:hAnsi="宋体" w:eastAsia="宋体" w:cs="宋体"/>
                <w:sz w:val="18"/>
                <w:szCs w:val="18"/>
              </w:rPr>
            </w:pPr>
            <w:r>
              <w:rPr>
                <w:rFonts w:hint="eastAsia" w:ascii="宋体" w:hAnsi="宋体" w:eastAsia="宋体" w:cs="宋体"/>
                <w:sz w:val="18"/>
                <w:szCs w:val="18"/>
              </w:rPr>
              <w:t>注：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bookmarkEnd w:id="106"/>
          </w:p>
        </w:tc>
      </w:tr>
      <w:tr w14:paraId="576CCF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40" w:type="dxa"/>
            <w:tcBorders>
              <w:tl2br w:val="nil"/>
              <w:tr2bl w:val="nil"/>
            </w:tcBorders>
            <w:vAlign w:val="center"/>
          </w:tcPr>
          <w:p w14:paraId="5E9AC132">
            <w:pPr>
              <w:jc w:val="center"/>
              <w:rPr>
                <w:rFonts w:hint="eastAsia" w:ascii="宋体" w:hAnsi="宋体" w:eastAsia="宋体" w:cs="宋体"/>
                <w:sz w:val="18"/>
                <w:szCs w:val="18"/>
              </w:rPr>
            </w:pPr>
            <w:r>
              <w:rPr>
                <w:rFonts w:hint="eastAsia" w:ascii="宋体" w:hAnsi="宋体" w:eastAsia="宋体" w:cs="宋体"/>
                <w:sz w:val="18"/>
                <w:szCs w:val="18"/>
              </w:rPr>
              <w:t>2</w:t>
            </w:r>
          </w:p>
        </w:tc>
        <w:tc>
          <w:tcPr>
            <w:tcW w:w="2110" w:type="dxa"/>
            <w:tcBorders>
              <w:tl2br w:val="nil"/>
              <w:tr2bl w:val="nil"/>
            </w:tcBorders>
            <w:vAlign w:val="center"/>
          </w:tcPr>
          <w:p w14:paraId="71F2754D">
            <w:pPr>
              <w:jc w:val="center"/>
              <w:rPr>
                <w:rFonts w:hint="eastAsia" w:ascii="宋体" w:hAnsi="宋体" w:eastAsia="宋体" w:cs="宋体"/>
                <w:sz w:val="18"/>
                <w:szCs w:val="18"/>
              </w:rPr>
            </w:pPr>
            <w:r>
              <w:rPr>
                <w:rFonts w:hint="eastAsia" w:ascii="宋体" w:hAnsi="宋体" w:eastAsia="宋体" w:cs="宋体"/>
                <w:spacing w:val="-14"/>
                <w:sz w:val="18"/>
              </w:rPr>
              <w:t>优先采购加分</w:t>
            </w:r>
            <w:r>
              <w:rPr>
                <w:rFonts w:hint="eastAsia" w:ascii="宋体" w:hAnsi="宋体" w:eastAsia="宋体" w:cs="宋体"/>
                <w:sz w:val="18"/>
              </w:rPr>
              <w:t>（F</w:t>
            </w:r>
            <w:r>
              <w:rPr>
                <w:rFonts w:hint="eastAsia" w:ascii="宋体" w:hAnsi="宋体" w:eastAsia="宋体" w:cs="宋体"/>
                <w:spacing w:val="-47"/>
                <w:sz w:val="18"/>
              </w:rPr>
              <w:t xml:space="preserve"> </w:t>
            </w:r>
            <w:r>
              <w:rPr>
                <w:rFonts w:hint="eastAsia" w:ascii="宋体" w:hAnsi="宋体" w:eastAsia="宋体" w:cs="宋体"/>
                <w:position w:val="-2"/>
                <w:sz w:val="9"/>
              </w:rPr>
              <w:t>优先采购加分</w:t>
            </w:r>
            <w:r>
              <w:rPr>
                <w:rFonts w:hint="eastAsia" w:ascii="宋体" w:hAnsi="宋体" w:eastAsia="宋体" w:cs="宋体"/>
                <w:sz w:val="18"/>
              </w:rPr>
              <w:t>）</w:t>
            </w:r>
          </w:p>
        </w:tc>
        <w:tc>
          <w:tcPr>
            <w:tcW w:w="5772" w:type="dxa"/>
            <w:tcBorders>
              <w:tl2br w:val="nil"/>
              <w:tr2bl w:val="nil"/>
            </w:tcBorders>
          </w:tcPr>
          <w:p w14:paraId="7D8AF884">
            <w:pPr>
              <w:ind w:firstLine="480" w:firstLineChars="200"/>
              <w:rPr>
                <w:rFonts w:hint="eastAsia" w:ascii="宋体" w:hAnsi="宋体" w:eastAsia="宋体" w:cs="宋体"/>
                <w:sz w:val="18"/>
                <w:szCs w:val="18"/>
              </w:rPr>
            </w:pPr>
            <w:r>
              <w:rPr>
                <w:rFonts w:ascii="仿宋" w:hAnsi="仿宋" w:eastAsia="仿宋" w:cs="Times New Roman"/>
                <w:position w:val="-16"/>
                <w:sz w:val="24"/>
              </w:rPr>
              <w:object>
                <v:shape id="_x0000_i1025" o:spt="75" type="#_x0000_t75" style="height:20.5pt;width:101.95pt;" o:ole="t" filled="f" o:preferrelative="t" stroked="f" coordsize="21600,21600">
                  <v:path/>
                  <v:fill on="f" focussize="0,0"/>
                  <v:stroke on="f" joinstyle="miter"/>
                  <v:imagedata r:id="rId13" o:title=""/>
                  <o:lock v:ext="edit" aspectratio="t"/>
                  <w10:wrap type="none"/>
                  <w10:anchorlock/>
                </v:shape>
                <o:OLEObject Type="Embed" ProgID="Equation.3" ShapeID="_x0000_i1025" DrawAspect="Content" ObjectID="_1468075725" r:id="rId12">
                  <o:LockedField>false</o:LockedField>
                </o:OLEObject>
              </w:object>
            </w:r>
            <w:r>
              <w:rPr>
                <w:rFonts w:hint="eastAsia" w:ascii="宋体" w:hAnsi="宋体" w:eastAsia="宋体" w:cs="Times New Roman"/>
                <w:sz w:val="18"/>
                <w:szCs w:val="18"/>
              </w:rPr>
              <w:t>×100×本项目加分比例</w:t>
            </w:r>
          </w:p>
        </w:tc>
      </w:tr>
      <w:tr w14:paraId="46E518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640" w:type="dxa"/>
            <w:tcBorders>
              <w:tl2br w:val="nil"/>
              <w:tr2bl w:val="nil"/>
            </w:tcBorders>
          </w:tcPr>
          <w:p w14:paraId="045C4D40">
            <w:pPr>
              <w:spacing w:before="91"/>
              <w:jc w:val="center"/>
              <w:rPr>
                <w:rFonts w:hint="eastAsia" w:ascii="宋体" w:hAnsi="宋体" w:eastAsia="宋体" w:cs="宋体"/>
                <w:sz w:val="18"/>
                <w:szCs w:val="18"/>
                <w:lang w:val="zh-CN" w:bidi="zh-CN"/>
              </w:rPr>
            </w:pPr>
            <w:r>
              <w:rPr>
                <w:rFonts w:hint="eastAsia" w:ascii="宋体" w:hAnsi="宋体" w:eastAsia="宋体" w:cs="宋体"/>
                <w:sz w:val="18"/>
                <w:lang w:val="zh-CN" w:bidi="zh-CN"/>
              </w:rPr>
              <w:t>∑</w:t>
            </w:r>
          </w:p>
        </w:tc>
        <w:tc>
          <w:tcPr>
            <w:tcW w:w="7882" w:type="dxa"/>
            <w:gridSpan w:val="2"/>
            <w:tcBorders>
              <w:tl2br w:val="nil"/>
              <w:tr2bl w:val="nil"/>
            </w:tcBorders>
          </w:tcPr>
          <w:p w14:paraId="640C4CA4">
            <w:pPr>
              <w:spacing w:before="95"/>
              <w:ind w:left="107"/>
              <w:rPr>
                <w:rFonts w:hint="eastAsia" w:ascii="宋体" w:hAnsi="宋体" w:eastAsia="宋体" w:cs="宋体"/>
                <w:sz w:val="18"/>
                <w:szCs w:val="18"/>
                <w:lang w:val="zh-CN" w:bidi="zh-CN"/>
              </w:rPr>
            </w:pPr>
            <w:r>
              <w:rPr>
                <w:rFonts w:hint="eastAsia" w:ascii="宋体" w:hAnsi="宋体" w:eastAsia="宋体" w:cs="宋体"/>
                <w:position w:val="2"/>
                <w:sz w:val="18"/>
                <w:lang w:val="zh-CN" w:bidi="zh-CN"/>
              </w:rPr>
              <w:t>F</w:t>
            </w:r>
            <w:r>
              <w:rPr>
                <w:rFonts w:hint="eastAsia" w:ascii="宋体" w:hAnsi="宋体" w:eastAsia="宋体" w:cs="宋体"/>
                <w:sz w:val="9"/>
                <w:lang w:val="zh-CN" w:bidi="zh-CN"/>
              </w:rPr>
              <w:t>1</w:t>
            </w:r>
            <w:r>
              <w:rPr>
                <w:rFonts w:hint="eastAsia" w:ascii="宋体" w:hAnsi="宋体" w:eastAsia="宋体" w:cs="宋体"/>
                <w:position w:val="2"/>
                <w:sz w:val="18"/>
                <w:lang w:val="zh-CN" w:bidi="zh-CN"/>
              </w:rPr>
              <w:t xml:space="preserve">=F+ F </w:t>
            </w:r>
            <w:r>
              <w:rPr>
                <w:rFonts w:hint="eastAsia" w:ascii="宋体" w:hAnsi="宋体" w:eastAsia="宋体" w:cs="宋体"/>
                <w:sz w:val="9"/>
                <w:lang w:val="zh-CN" w:bidi="zh-CN"/>
              </w:rPr>
              <w:t>优先采购加分</w:t>
            </w:r>
          </w:p>
        </w:tc>
      </w:tr>
    </w:tbl>
    <w:p w14:paraId="5DF744E6">
      <w:pPr>
        <w:rPr>
          <w:rFonts w:hint="eastAsia" w:ascii="宋体" w:hAnsi="宋体" w:eastAsia="宋体" w:cs="宋体"/>
          <w:b/>
        </w:rPr>
      </w:pPr>
    </w:p>
    <w:p w14:paraId="721B265C">
      <w:pPr>
        <w:rPr>
          <w:rFonts w:hint="eastAsia" w:ascii="宋体" w:hAnsi="宋体" w:eastAsia="宋体" w:cs="宋体"/>
          <w:b/>
        </w:rPr>
      </w:pPr>
      <w:r>
        <w:rPr>
          <w:rFonts w:hint="eastAsia" w:ascii="宋体" w:hAnsi="宋体" w:eastAsia="宋体" w:cs="宋体"/>
          <w:b/>
        </w:rPr>
        <w:br w:type="page"/>
      </w:r>
    </w:p>
    <w:p w14:paraId="169B8C76">
      <w:pPr>
        <w:spacing w:before="96" w:beforeLines="30" w:after="96" w:afterLines="30" w:line="360" w:lineRule="auto"/>
        <w:jc w:val="center"/>
        <w:rPr>
          <w:rFonts w:hint="eastAsia" w:ascii="宋体" w:hAnsi="宋体" w:eastAsia="宋体" w:cs="宋体"/>
          <w:b/>
        </w:rPr>
      </w:pPr>
      <w:r>
        <w:rPr>
          <w:rFonts w:hint="eastAsia" w:ascii="宋体" w:hAnsi="宋体" w:eastAsia="宋体" w:cs="宋体"/>
          <w:b/>
        </w:rPr>
        <w:t>附表 1.2 包1商务部分评审标准表</w:t>
      </w:r>
    </w:p>
    <w:tbl>
      <w:tblPr>
        <w:tblStyle w:val="3"/>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82"/>
        <w:gridCol w:w="915"/>
        <w:gridCol w:w="1068"/>
        <w:gridCol w:w="5957"/>
      </w:tblGrid>
      <w:tr w14:paraId="1E57BE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82" w:type="dxa"/>
            <w:tcBorders>
              <w:tl2br w:val="nil"/>
              <w:tr2bl w:val="nil"/>
            </w:tcBorders>
            <w:vAlign w:val="center"/>
          </w:tcPr>
          <w:p w14:paraId="68685A37">
            <w:pPr>
              <w:jc w:val="center"/>
              <w:rPr>
                <w:rFonts w:hint="eastAsia" w:ascii="宋体" w:hAnsi="宋体" w:eastAsia="宋体" w:cs="宋体"/>
                <w:szCs w:val="21"/>
              </w:rPr>
            </w:pPr>
            <w:r>
              <w:rPr>
                <w:rFonts w:hint="eastAsia" w:ascii="宋体" w:hAnsi="宋体" w:eastAsia="宋体" w:cs="宋体"/>
                <w:b/>
                <w:bCs/>
                <w:sz w:val="18"/>
                <w:szCs w:val="18"/>
              </w:rPr>
              <w:t>序号</w:t>
            </w:r>
          </w:p>
        </w:tc>
        <w:tc>
          <w:tcPr>
            <w:tcW w:w="1983" w:type="dxa"/>
            <w:gridSpan w:val="2"/>
            <w:tcBorders>
              <w:tl2br w:val="nil"/>
              <w:tr2bl w:val="nil"/>
            </w:tcBorders>
            <w:vAlign w:val="center"/>
          </w:tcPr>
          <w:p w14:paraId="0659D789">
            <w:pPr>
              <w:jc w:val="center"/>
              <w:rPr>
                <w:rFonts w:hint="eastAsia" w:ascii="宋体" w:hAnsi="宋体" w:eastAsia="宋体" w:cs="宋体"/>
                <w:szCs w:val="21"/>
              </w:rPr>
            </w:pPr>
            <w:r>
              <w:rPr>
                <w:rFonts w:hint="eastAsia" w:ascii="宋体" w:hAnsi="宋体" w:eastAsia="宋体" w:cs="宋体"/>
                <w:b/>
                <w:bCs/>
                <w:sz w:val="18"/>
                <w:szCs w:val="18"/>
              </w:rPr>
              <w:t>评标因素（权重分）</w:t>
            </w:r>
          </w:p>
        </w:tc>
        <w:tc>
          <w:tcPr>
            <w:tcW w:w="5957" w:type="dxa"/>
            <w:tcBorders>
              <w:tl2br w:val="nil"/>
              <w:tr2bl w:val="nil"/>
            </w:tcBorders>
            <w:vAlign w:val="center"/>
          </w:tcPr>
          <w:p w14:paraId="3FAE574B">
            <w:pPr>
              <w:jc w:val="center"/>
              <w:rPr>
                <w:rFonts w:hint="eastAsia" w:ascii="宋体" w:hAnsi="宋体" w:eastAsia="宋体" w:cs="宋体"/>
                <w:szCs w:val="21"/>
              </w:rPr>
            </w:pPr>
            <w:r>
              <w:rPr>
                <w:rFonts w:hint="eastAsia" w:ascii="宋体" w:hAnsi="宋体" w:eastAsia="宋体" w:cs="宋体"/>
                <w:b/>
                <w:bCs/>
                <w:sz w:val="18"/>
                <w:szCs w:val="18"/>
              </w:rPr>
              <w:t>评标标准</w:t>
            </w:r>
          </w:p>
        </w:tc>
      </w:tr>
      <w:tr w14:paraId="480EB6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59" w:hRule="atLeast"/>
        </w:trPr>
        <w:tc>
          <w:tcPr>
            <w:tcW w:w="582" w:type="dxa"/>
            <w:vMerge w:val="restart"/>
            <w:tcBorders>
              <w:tl2br w:val="nil"/>
              <w:tr2bl w:val="nil"/>
            </w:tcBorders>
            <w:vAlign w:val="center"/>
          </w:tcPr>
          <w:p w14:paraId="273D91CF">
            <w:pPr>
              <w:jc w:val="center"/>
              <w:rPr>
                <w:rFonts w:hint="eastAsia" w:ascii="宋体" w:hAnsi="宋体" w:eastAsia="宋体" w:cs="宋体"/>
                <w:szCs w:val="21"/>
              </w:rPr>
            </w:pPr>
          </w:p>
        </w:tc>
        <w:tc>
          <w:tcPr>
            <w:tcW w:w="915" w:type="dxa"/>
            <w:vMerge w:val="restart"/>
            <w:tcBorders>
              <w:tl2br w:val="nil"/>
              <w:tr2bl w:val="nil"/>
            </w:tcBorders>
            <w:vAlign w:val="center"/>
          </w:tcPr>
          <w:p w14:paraId="000F85AC">
            <w:pPr>
              <w:jc w:val="center"/>
              <w:rPr>
                <w:rFonts w:hint="eastAsia" w:ascii="宋体" w:hAnsi="宋体" w:eastAsia="宋体" w:cs="宋体"/>
                <w:sz w:val="18"/>
                <w:szCs w:val="18"/>
              </w:rPr>
            </w:pPr>
          </w:p>
        </w:tc>
        <w:tc>
          <w:tcPr>
            <w:tcW w:w="1068" w:type="dxa"/>
            <w:tcBorders>
              <w:tl2br w:val="nil"/>
              <w:tr2bl w:val="nil"/>
            </w:tcBorders>
            <w:vAlign w:val="center"/>
          </w:tcPr>
          <w:p w14:paraId="6E87D84B">
            <w:pPr>
              <w:jc w:val="center"/>
              <w:rPr>
                <w:rFonts w:hint="eastAsia" w:ascii="宋体" w:hAnsi="宋体" w:eastAsia="宋体" w:cs="新宋体"/>
                <w:kern w:val="0"/>
                <w:sz w:val="18"/>
                <w:szCs w:val="18"/>
              </w:rPr>
            </w:pPr>
            <w:r>
              <w:rPr>
                <w:rFonts w:hint="eastAsia" w:ascii="宋体" w:hAnsi="宋体" w:eastAsia="宋体" w:cs="新宋体"/>
                <w:kern w:val="0"/>
                <w:sz w:val="18"/>
                <w:szCs w:val="18"/>
              </w:rPr>
              <w:t>售后服务</w:t>
            </w:r>
          </w:p>
          <w:p w14:paraId="6C81BA05">
            <w:pPr>
              <w:jc w:val="center"/>
              <w:rPr>
                <w:rFonts w:hint="eastAsia" w:ascii="宋体" w:hAnsi="宋体" w:eastAsia="宋体" w:cs="新宋体"/>
                <w:kern w:val="0"/>
                <w:sz w:val="18"/>
                <w:szCs w:val="18"/>
                <w:lang w:eastAsia="en-US"/>
              </w:rPr>
            </w:pPr>
            <w:r>
              <w:rPr>
                <w:rFonts w:hint="eastAsia" w:ascii="宋体" w:hAnsi="宋体" w:eastAsia="宋体" w:cs="新宋体"/>
                <w:kern w:val="0"/>
                <w:sz w:val="18"/>
                <w:szCs w:val="18"/>
              </w:rPr>
              <w:t>（40分）</w:t>
            </w:r>
          </w:p>
        </w:tc>
        <w:tc>
          <w:tcPr>
            <w:tcW w:w="5957" w:type="dxa"/>
            <w:tcBorders>
              <w:tl2br w:val="nil"/>
              <w:tr2bl w:val="nil"/>
            </w:tcBorders>
            <w:vAlign w:val="center"/>
          </w:tcPr>
          <w:p w14:paraId="47CA3459">
            <w:pPr>
              <w:ind w:firstLine="360" w:firstLineChars="200"/>
              <w:jc w:val="left"/>
              <w:rPr>
                <w:rFonts w:hint="eastAsia" w:ascii="宋体" w:hAnsi="宋体" w:eastAsia="宋体" w:cs="新宋体"/>
                <w:kern w:val="0"/>
                <w:sz w:val="18"/>
                <w:szCs w:val="18"/>
              </w:rPr>
            </w:pPr>
            <w:r>
              <w:rPr>
                <w:rFonts w:hint="eastAsia" w:ascii="宋体" w:hAnsi="宋体" w:eastAsia="宋体" w:cs="新宋体"/>
                <w:kern w:val="0"/>
                <w:sz w:val="18"/>
                <w:szCs w:val="18"/>
              </w:rPr>
              <w:t>投标人提供的售后服务方案，包括但不限于：</w:t>
            </w:r>
            <w:r>
              <w:rPr>
                <w:rFonts w:hint="eastAsia" w:ascii="宋体" w:hAnsi="宋体" w:eastAsia="宋体" w:cs="宋体"/>
                <w:sz w:val="18"/>
                <w:szCs w:val="18"/>
              </w:rPr>
              <w:t>①售后服务人员安排、②质量保证计划、③维护技术力量、④服务响应时间、⑤质保期满后服务措施</w:t>
            </w:r>
            <w:r>
              <w:rPr>
                <w:rFonts w:hint="eastAsia" w:ascii="宋体" w:hAnsi="宋体" w:eastAsia="宋体" w:cs="新宋体"/>
                <w:kern w:val="0"/>
                <w:sz w:val="18"/>
                <w:szCs w:val="18"/>
              </w:rPr>
              <w:t>等方案。方案包含以上全部内容且结合本项目实际阐述详实完整、合理、针对性强的计40分，内容有缺漏的每处每项扣</w:t>
            </w:r>
            <w:r>
              <w:rPr>
                <w:rFonts w:hint="eastAsia" w:ascii="宋体" w:hAnsi="宋体" w:eastAsia="宋体" w:cs="宋体"/>
                <w:sz w:val="18"/>
                <w:szCs w:val="18"/>
              </w:rPr>
              <w:t>8分</w:t>
            </w:r>
            <w:r>
              <w:rPr>
                <w:rFonts w:hint="eastAsia" w:ascii="宋体" w:hAnsi="宋体" w:eastAsia="宋体" w:cs="新宋体"/>
                <w:kern w:val="0"/>
                <w:sz w:val="18"/>
                <w:szCs w:val="18"/>
              </w:rPr>
              <w:t>；每有一项内容不完整或不合理或有缺陷或与项目不匹配的扣</w:t>
            </w:r>
            <w:r>
              <w:rPr>
                <w:rFonts w:hint="eastAsia" w:ascii="宋体" w:hAnsi="宋体" w:eastAsia="宋体" w:cs="宋体"/>
                <w:sz w:val="18"/>
                <w:szCs w:val="18"/>
              </w:rPr>
              <w:t>4分</w:t>
            </w:r>
            <w:r>
              <w:rPr>
                <w:rFonts w:hint="eastAsia" w:ascii="宋体" w:hAnsi="宋体" w:eastAsia="宋体" w:cs="新宋体"/>
                <w:kern w:val="0"/>
                <w:sz w:val="18"/>
                <w:szCs w:val="18"/>
              </w:rPr>
              <w:t>，扣完为止；未提供的不计分。</w:t>
            </w:r>
          </w:p>
          <w:p w14:paraId="33470EC7">
            <w:pPr>
              <w:ind w:firstLine="360" w:firstLineChars="200"/>
              <w:jc w:val="left"/>
              <w:rPr>
                <w:rFonts w:hint="eastAsia" w:ascii="宋体" w:hAnsi="宋体" w:eastAsia="宋体" w:cs="新宋体"/>
                <w:kern w:val="0"/>
                <w:sz w:val="18"/>
                <w:szCs w:val="18"/>
              </w:rPr>
            </w:pPr>
            <w:r>
              <w:rPr>
                <w:rFonts w:hint="eastAsia" w:ascii="宋体" w:hAnsi="宋体" w:eastAsia="宋体" w:cs="新宋体"/>
                <w:kern w:val="0"/>
                <w:sz w:val="18"/>
                <w:szCs w:val="18"/>
              </w:rPr>
              <w:t>注：内容不完整或不合理或有缺陷或与项目不匹配是指：非专门针对本项目或不适用项目特性的情形、内容不完整或缺少关键节点、套用其他项目方案、内容前后矛盾、涉及的规范及标准错误、不利于项目实施、不可能实现的情形等任意一种情形。</w:t>
            </w:r>
          </w:p>
        </w:tc>
      </w:tr>
      <w:tr w14:paraId="007BC6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82" w:type="dxa"/>
            <w:vMerge w:val="continue"/>
            <w:tcBorders>
              <w:tl2br w:val="nil"/>
              <w:tr2bl w:val="nil"/>
            </w:tcBorders>
            <w:vAlign w:val="center"/>
          </w:tcPr>
          <w:p w14:paraId="778E174A">
            <w:pPr>
              <w:jc w:val="center"/>
              <w:rPr>
                <w:rFonts w:hint="eastAsia" w:ascii="宋体" w:hAnsi="宋体" w:eastAsia="宋体" w:cs="宋体"/>
                <w:szCs w:val="21"/>
              </w:rPr>
            </w:pPr>
          </w:p>
        </w:tc>
        <w:tc>
          <w:tcPr>
            <w:tcW w:w="915" w:type="dxa"/>
            <w:vMerge w:val="continue"/>
            <w:tcBorders>
              <w:tl2br w:val="nil"/>
              <w:tr2bl w:val="nil"/>
            </w:tcBorders>
            <w:vAlign w:val="center"/>
          </w:tcPr>
          <w:p w14:paraId="212071DD">
            <w:pPr>
              <w:jc w:val="center"/>
              <w:rPr>
                <w:rFonts w:hint="eastAsia" w:ascii="宋体" w:hAnsi="宋体" w:eastAsia="宋体" w:cs="宋体"/>
                <w:sz w:val="18"/>
                <w:szCs w:val="18"/>
              </w:rPr>
            </w:pPr>
          </w:p>
        </w:tc>
        <w:tc>
          <w:tcPr>
            <w:tcW w:w="1068" w:type="dxa"/>
            <w:tcBorders>
              <w:tl2br w:val="nil"/>
              <w:tr2bl w:val="nil"/>
            </w:tcBorders>
            <w:vAlign w:val="center"/>
          </w:tcPr>
          <w:p w14:paraId="74BCE80D">
            <w:pPr>
              <w:jc w:val="center"/>
              <w:rPr>
                <w:rFonts w:hint="eastAsia" w:ascii="宋体" w:hAnsi="宋体" w:eastAsia="宋体" w:cs="新宋体"/>
                <w:kern w:val="0"/>
                <w:sz w:val="18"/>
                <w:szCs w:val="18"/>
                <w:lang w:eastAsia="en-US"/>
              </w:rPr>
            </w:pPr>
            <w:r>
              <w:rPr>
                <w:rFonts w:hint="eastAsia" w:ascii="宋体" w:hAnsi="宋体" w:eastAsia="宋体" w:cs="新宋体"/>
                <w:kern w:val="0"/>
                <w:sz w:val="18"/>
                <w:szCs w:val="18"/>
                <w:lang w:eastAsia="en-US"/>
              </w:rPr>
              <w:t>类似经验</w:t>
            </w:r>
          </w:p>
          <w:p w14:paraId="0E1F207B">
            <w:pPr>
              <w:jc w:val="center"/>
              <w:rPr>
                <w:rFonts w:hint="eastAsia" w:ascii="宋体" w:hAnsi="宋体" w:eastAsia="宋体" w:cs="新宋体"/>
                <w:kern w:val="0"/>
                <w:sz w:val="18"/>
                <w:szCs w:val="18"/>
              </w:rPr>
            </w:pPr>
            <w:r>
              <w:rPr>
                <w:rFonts w:hint="eastAsia" w:ascii="宋体" w:hAnsi="宋体" w:eastAsia="宋体" w:cs="新宋体"/>
                <w:kern w:val="0"/>
                <w:sz w:val="18"/>
                <w:szCs w:val="18"/>
              </w:rPr>
              <w:t>（40分）</w:t>
            </w:r>
          </w:p>
        </w:tc>
        <w:tc>
          <w:tcPr>
            <w:tcW w:w="5957" w:type="dxa"/>
            <w:tcBorders>
              <w:tl2br w:val="nil"/>
              <w:tr2bl w:val="nil"/>
            </w:tcBorders>
            <w:vAlign w:val="center"/>
          </w:tcPr>
          <w:p w14:paraId="5B2DB592">
            <w:pPr>
              <w:ind w:firstLine="360" w:firstLineChars="200"/>
              <w:jc w:val="left"/>
              <w:rPr>
                <w:rFonts w:hint="eastAsia" w:ascii="宋体" w:hAnsi="宋体" w:eastAsia="宋体" w:cs="新宋体"/>
                <w:kern w:val="0"/>
                <w:sz w:val="18"/>
                <w:szCs w:val="18"/>
              </w:rPr>
            </w:pPr>
            <w:r>
              <w:rPr>
                <w:rFonts w:hint="eastAsia" w:ascii="宋体" w:hAnsi="宋体" w:eastAsia="宋体" w:cs="新宋体"/>
                <w:kern w:val="0"/>
                <w:sz w:val="18"/>
                <w:szCs w:val="18"/>
              </w:rPr>
              <w:t>投标产品近三年（至投标截止时间前36个月内，具体以合同签订时间或合同履行期限为准）具有类似（包含本项目核心产品）业绩的，每个计10分，最多计40分。</w:t>
            </w:r>
          </w:p>
          <w:p w14:paraId="039B864C">
            <w:pPr>
              <w:ind w:firstLine="360" w:firstLineChars="200"/>
              <w:jc w:val="left"/>
              <w:rPr>
                <w:rFonts w:hint="eastAsia" w:ascii="宋体" w:hAnsi="宋体" w:eastAsia="宋体" w:cs="新宋体"/>
                <w:kern w:val="0"/>
                <w:sz w:val="18"/>
                <w:szCs w:val="18"/>
              </w:rPr>
            </w:pPr>
            <w:r>
              <w:rPr>
                <w:rFonts w:hint="eastAsia" w:ascii="宋体" w:hAnsi="宋体" w:eastAsia="宋体" w:cs="新宋体"/>
                <w:kern w:val="0"/>
                <w:sz w:val="18"/>
                <w:szCs w:val="18"/>
              </w:rPr>
              <w:t>注：提供合同复印件（合同内容中须体现本项目核心产品）并加盖投标人单位公章</w:t>
            </w:r>
            <w:r>
              <w:rPr>
                <w:rFonts w:hint="eastAsia" w:ascii="宋体" w:hAnsi="宋体" w:eastAsia="宋体" w:cs="新宋体"/>
                <w:kern w:val="0"/>
                <w:sz w:val="18"/>
                <w:szCs w:val="18"/>
                <w:lang w:val="zh-CN"/>
              </w:rPr>
              <w:t>，否则不计分</w:t>
            </w:r>
            <w:r>
              <w:rPr>
                <w:rFonts w:hint="eastAsia" w:ascii="宋体" w:hAnsi="宋体" w:eastAsia="宋体" w:cs="新宋体"/>
                <w:kern w:val="0"/>
                <w:sz w:val="18"/>
                <w:szCs w:val="18"/>
              </w:rPr>
              <w:t>。</w:t>
            </w:r>
          </w:p>
        </w:tc>
      </w:tr>
      <w:tr w14:paraId="5F0D8C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82" w:type="dxa"/>
            <w:vMerge w:val="continue"/>
            <w:tcBorders>
              <w:tl2br w:val="nil"/>
              <w:tr2bl w:val="nil"/>
            </w:tcBorders>
            <w:vAlign w:val="center"/>
          </w:tcPr>
          <w:p w14:paraId="27786C57">
            <w:pPr>
              <w:jc w:val="center"/>
              <w:rPr>
                <w:rFonts w:hint="eastAsia" w:ascii="宋体" w:hAnsi="宋体" w:eastAsia="宋体" w:cs="宋体"/>
              </w:rPr>
            </w:pPr>
          </w:p>
        </w:tc>
        <w:tc>
          <w:tcPr>
            <w:tcW w:w="915" w:type="dxa"/>
            <w:vMerge w:val="continue"/>
            <w:tcBorders>
              <w:tl2br w:val="nil"/>
              <w:tr2bl w:val="nil"/>
            </w:tcBorders>
          </w:tcPr>
          <w:p w14:paraId="51E0FB2E">
            <w:pPr>
              <w:jc w:val="center"/>
              <w:rPr>
                <w:rFonts w:hint="eastAsia" w:ascii="宋体" w:hAnsi="宋体" w:eastAsia="宋体" w:cs="宋体"/>
              </w:rPr>
            </w:pPr>
          </w:p>
        </w:tc>
        <w:tc>
          <w:tcPr>
            <w:tcW w:w="1068" w:type="dxa"/>
            <w:tcBorders>
              <w:tl2br w:val="nil"/>
              <w:tr2bl w:val="nil"/>
            </w:tcBorders>
            <w:vAlign w:val="center"/>
          </w:tcPr>
          <w:p w14:paraId="3F10F42E">
            <w:pPr>
              <w:jc w:val="center"/>
              <w:rPr>
                <w:rFonts w:hint="eastAsia" w:ascii="宋体" w:hAnsi="宋体" w:eastAsia="宋体" w:cs="新宋体"/>
                <w:kern w:val="0"/>
                <w:sz w:val="18"/>
                <w:szCs w:val="18"/>
              </w:rPr>
            </w:pPr>
            <w:r>
              <w:rPr>
                <w:rFonts w:hint="eastAsia" w:ascii="宋体" w:hAnsi="宋体" w:eastAsia="宋体" w:cs="新宋体"/>
                <w:kern w:val="0"/>
                <w:sz w:val="18"/>
                <w:szCs w:val="18"/>
              </w:rPr>
              <w:t>质保承诺（20分）</w:t>
            </w:r>
          </w:p>
        </w:tc>
        <w:tc>
          <w:tcPr>
            <w:tcW w:w="5957" w:type="dxa"/>
            <w:tcBorders>
              <w:tl2br w:val="nil"/>
              <w:tr2bl w:val="nil"/>
            </w:tcBorders>
            <w:vAlign w:val="center"/>
          </w:tcPr>
          <w:p w14:paraId="0874706A">
            <w:pPr>
              <w:ind w:firstLine="360" w:firstLineChars="200"/>
              <w:jc w:val="left"/>
              <w:rPr>
                <w:rFonts w:hint="eastAsia" w:ascii="宋体" w:hAnsi="宋体" w:eastAsia="宋体" w:cs="新宋体"/>
                <w:kern w:val="0"/>
                <w:sz w:val="18"/>
                <w:szCs w:val="18"/>
                <w:lang w:val="zh-CN"/>
              </w:rPr>
            </w:pPr>
            <w:r>
              <w:rPr>
                <w:rFonts w:hint="eastAsia" w:ascii="宋体" w:hAnsi="宋体" w:eastAsia="宋体" w:cs="新宋体"/>
                <w:kern w:val="0"/>
                <w:sz w:val="18"/>
                <w:szCs w:val="18"/>
                <w:lang w:val="zh-CN"/>
              </w:rPr>
              <w:t>投标人承诺在满足招标文件质保期（其中软件类产品终身升级）三年的基础上，每增加一年计10分，最多计20分。</w:t>
            </w:r>
          </w:p>
          <w:p w14:paraId="760954F7">
            <w:pPr>
              <w:ind w:firstLine="360" w:firstLineChars="200"/>
              <w:jc w:val="left"/>
              <w:rPr>
                <w:rFonts w:hint="eastAsia" w:ascii="宋体" w:hAnsi="宋体" w:eastAsia="宋体" w:cs="新宋体"/>
                <w:kern w:val="0"/>
                <w:sz w:val="18"/>
                <w:szCs w:val="18"/>
                <w:lang w:val="zh-CN"/>
              </w:rPr>
            </w:pPr>
            <w:r>
              <w:rPr>
                <w:rFonts w:hint="eastAsia" w:ascii="宋体" w:hAnsi="宋体" w:eastAsia="宋体" w:cs="新宋体"/>
                <w:kern w:val="0"/>
                <w:sz w:val="18"/>
                <w:szCs w:val="18"/>
              </w:rPr>
              <w:t>注：提供承诺函并加盖投标人公章，格式自拟</w:t>
            </w:r>
            <w:r>
              <w:rPr>
                <w:rFonts w:hint="eastAsia" w:ascii="宋体" w:hAnsi="宋体" w:eastAsia="宋体" w:cs="新宋体"/>
                <w:kern w:val="0"/>
                <w:sz w:val="18"/>
                <w:szCs w:val="18"/>
                <w:lang w:val="zh-CN"/>
              </w:rPr>
              <w:t>，</w:t>
            </w:r>
            <w:r>
              <w:rPr>
                <w:rFonts w:hint="eastAsia" w:ascii="宋体" w:hAnsi="宋体" w:eastAsia="宋体" w:cs="新宋体"/>
                <w:kern w:val="0"/>
                <w:sz w:val="18"/>
                <w:szCs w:val="18"/>
              </w:rPr>
              <w:t>未提供的不计分</w:t>
            </w:r>
            <w:r>
              <w:rPr>
                <w:rFonts w:hint="eastAsia" w:ascii="宋体" w:hAnsi="宋体" w:eastAsia="宋体" w:cs="新宋体"/>
                <w:kern w:val="0"/>
                <w:sz w:val="18"/>
                <w:szCs w:val="18"/>
                <w:lang w:val="zh-CN"/>
              </w:rPr>
              <w:t>。</w:t>
            </w:r>
          </w:p>
        </w:tc>
      </w:tr>
      <w:tr w14:paraId="171BB5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82" w:type="dxa"/>
            <w:tcBorders>
              <w:tl2br w:val="nil"/>
              <w:tr2bl w:val="nil"/>
            </w:tcBorders>
            <w:vAlign w:val="center"/>
          </w:tcPr>
          <w:p w14:paraId="25CE4605">
            <w:pPr>
              <w:jc w:val="center"/>
              <w:rPr>
                <w:rFonts w:hint="eastAsia" w:ascii="宋体" w:hAnsi="宋体" w:eastAsia="宋体" w:cs="宋体"/>
                <w:szCs w:val="21"/>
              </w:rPr>
            </w:pPr>
            <w:r>
              <w:rPr>
                <w:rFonts w:hint="eastAsia" w:ascii="宋体" w:hAnsi="宋体" w:eastAsia="宋体" w:cs="宋体"/>
                <w:szCs w:val="21"/>
              </w:rPr>
              <w:t>2</w:t>
            </w:r>
          </w:p>
        </w:tc>
        <w:tc>
          <w:tcPr>
            <w:tcW w:w="1983" w:type="dxa"/>
            <w:gridSpan w:val="2"/>
            <w:tcBorders>
              <w:tl2br w:val="nil"/>
              <w:tr2bl w:val="nil"/>
            </w:tcBorders>
            <w:vAlign w:val="center"/>
          </w:tcPr>
          <w:p w14:paraId="7560E1D0">
            <w:pPr>
              <w:jc w:val="center"/>
              <w:rPr>
                <w:rFonts w:hint="eastAsia" w:ascii="宋体" w:hAnsi="宋体" w:eastAsia="宋体" w:cs="宋体"/>
                <w:szCs w:val="21"/>
              </w:rPr>
            </w:pPr>
            <w:r>
              <w:rPr>
                <w:rFonts w:hint="eastAsia" w:ascii="宋体" w:hAnsi="宋体" w:eastAsia="宋体" w:cs="宋体"/>
                <w:spacing w:val="-14"/>
                <w:sz w:val="18"/>
              </w:rPr>
              <w:t>优先采购加分</w:t>
            </w:r>
            <w:r>
              <w:rPr>
                <w:rFonts w:hint="eastAsia" w:ascii="宋体" w:hAnsi="宋体" w:eastAsia="宋体" w:cs="宋体"/>
                <w:sz w:val="18"/>
              </w:rPr>
              <w:t>（F</w:t>
            </w:r>
            <w:r>
              <w:rPr>
                <w:rFonts w:hint="eastAsia" w:ascii="宋体" w:hAnsi="宋体" w:eastAsia="宋体" w:cs="宋体"/>
                <w:spacing w:val="-47"/>
                <w:sz w:val="18"/>
              </w:rPr>
              <w:t xml:space="preserve"> </w:t>
            </w:r>
            <w:r>
              <w:rPr>
                <w:rFonts w:hint="eastAsia" w:ascii="宋体" w:hAnsi="宋体" w:eastAsia="宋体" w:cs="宋体"/>
                <w:position w:val="-2"/>
                <w:sz w:val="9"/>
              </w:rPr>
              <w:t>优先采购加分</w:t>
            </w:r>
            <w:r>
              <w:rPr>
                <w:rFonts w:hint="eastAsia" w:ascii="宋体" w:hAnsi="宋体" w:eastAsia="宋体" w:cs="宋体"/>
                <w:sz w:val="18"/>
              </w:rPr>
              <w:t>）</w:t>
            </w:r>
          </w:p>
        </w:tc>
        <w:tc>
          <w:tcPr>
            <w:tcW w:w="5957" w:type="dxa"/>
            <w:tcBorders>
              <w:tl2br w:val="nil"/>
              <w:tr2bl w:val="nil"/>
            </w:tcBorders>
            <w:vAlign w:val="center"/>
          </w:tcPr>
          <w:p w14:paraId="20C3EB04">
            <w:pPr>
              <w:rPr>
                <w:rFonts w:hint="eastAsia" w:ascii="宋体" w:hAnsi="宋体" w:eastAsia="宋体" w:cs="宋体"/>
                <w:sz w:val="18"/>
                <w:szCs w:val="18"/>
              </w:rPr>
            </w:pPr>
            <w:r>
              <w:rPr>
                <w:rFonts w:hint="eastAsia" w:ascii="宋体" w:hAnsi="宋体" w:eastAsia="宋体" w:cs="宋体"/>
                <w:sz w:val="18"/>
                <w:szCs w:val="18"/>
              </w:rPr>
              <w:t>无</w:t>
            </w:r>
          </w:p>
        </w:tc>
      </w:tr>
      <w:tr w14:paraId="5791BF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82" w:type="dxa"/>
            <w:tcBorders>
              <w:tl2br w:val="nil"/>
              <w:tr2bl w:val="nil"/>
            </w:tcBorders>
            <w:vAlign w:val="center"/>
          </w:tcPr>
          <w:p w14:paraId="1CFE4B5C">
            <w:pPr>
              <w:spacing w:before="91"/>
              <w:jc w:val="center"/>
              <w:rPr>
                <w:rFonts w:hint="eastAsia" w:ascii="宋体" w:hAnsi="宋体" w:eastAsia="宋体" w:cs="宋体"/>
                <w:szCs w:val="21"/>
                <w:lang w:val="zh-CN" w:bidi="zh-CN"/>
              </w:rPr>
            </w:pPr>
            <w:r>
              <w:rPr>
                <w:rFonts w:hint="eastAsia" w:ascii="宋体" w:hAnsi="宋体" w:eastAsia="宋体" w:cs="宋体"/>
                <w:sz w:val="18"/>
                <w:lang w:val="zh-CN" w:bidi="zh-CN"/>
              </w:rPr>
              <w:t>∑</w:t>
            </w:r>
          </w:p>
        </w:tc>
        <w:tc>
          <w:tcPr>
            <w:tcW w:w="7940" w:type="dxa"/>
            <w:gridSpan w:val="3"/>
            <w:tcBorders>
              <w:tl2br w:val="nil"/>
              <w:tr2bl w:val="nil"/>
            </w:tcBorders>
          </w:tcPr>
          <w:p w14:paraId="629DB766">
            <w:pPr>
              <w:spacing w:before="95"/>
              <w:ind w:left="107"/>
              <w:rPr>
                <w:rFonts w:hint="eastAsia" w:ascii="宋体" w:hAnsi="宋体" w:eastAsia="宋体" w:cs="宋体"/>
                <w:szCs w:val="21"/>
                <w:lang w:val="zh-CN" w:bidi="zh-CN"/>
              </w:rPr>
            </w:pPr>
            <w:r>
              <w:rPr>
                <w:rFonts w:hint="eastAsia" w:ascii="宋体" w:hAnsi="宋体" w:eastAsia="宋体" w:cs="宋体"/>
                <w:position w:val="2"/>
                <w:sz w:val="18"/>
                <w:lang w:val="zh-CN" w:bidi="zh-CN"/>
              </w:rPr>
              <w:t>F</w:t>
            </w:r>
            <w:r>
              <w:rPr>
                <w:rFonts w:hint="eastAsia" w:ascii="宋体" w:hAnsi="宋体" w:eastAsia="宋体" w:cs="宋体"/>
                <w:sz w:val="9"/>
                <w:lang w:val="zh-CN" w:bidi="zh-CN"/>
              </w:rPr>
              <w:t>1</w:t>
            </w:r>
            <w:r>
              <w:rPr>
                <w:rFonts w:hint="eastAsia" w:ascii="宋体" w:hAnsi="宋体" w:eastAsia="宋体" w:cs="宋体"/>
                <w:position w:val="2"/>
                <w:sz w:val="18"/>
                <w:lang w:val="zh-CN" w:bidi="zh-CN"/>
              </w:rPr>
              <w:t xml:space="preserve">=F+ F </w:t>
            </w:r>
            <w:r>
              <w:rPr>
                <w:rFonts w:hint="eastAsia" w:ascii="宋体" w:hAnsi="宋体" w:eastAsia="宋体" w:cs="宋体"/>
                <w:sz w:val="9"/>
                <w:lang w:val="zh-CN" w:bidi="zh-CN"/>
              </w:rPr>
              <w:t>优先采购加分</w:t>
            </w:r>
          </w:p>
        </w:tc>
      </w:tr>
    </w:tbl>
    <w:p w14:paraId="0D7F1106">
      <w:pPr>
        <w:rPr>
          <w:rFonts w:ascii="Times New Roman" w:hAnsi="Times New Roman" w:eastAsia="宋体" w:cs="Times New Roman"/>
        </w:rPr>
      </w:pPr>
      <w:r>
        <w:rPr>
          <w:rFonts w:hint="eastAsia" w:ascii="Times New Roman" w:hAnsi="Times New Roman" w:eastAsia="宋体" w:cs="Times New Roman"/>
        </w:rPr>
        <w:br w:type="page"/>
      </w:r>
    </w:p>
    <w:p w14:paraId="5EBCCAED">
      <w:pPr>
        <w:spacing w:before="96" w:beforeLines="30" w:after="96" w:afterLines="30" w:line="360" w:lineRule="auto"/>
        <w:jc w:val="center"/>
        <w:rPr>
          <w:rFonts w:hint="eastAsia" w:ascii="宋体" w:hAnsi="宋体" w:eastAsia="宋体" w:cs="宋体"/>
          <w:b/>
        </w:rPr>
      </w:pPr>
      <w:r>
        <w:rPr>
          <w:rFonts w:hint="eastAsia" w:ascii="宋体" w:hAnsi="宋体" w:eastAsia="宋体" w:cs="宋体"/>
          <w:b/>
        </w:rPr>
        <w:t>附表 1.3 包1技术部分评审标准表</w:t>
      </w:r>
    </w:p>
    <w:tbl>
      <w:tblPr>
        <w:tblStyle w:val="3"/>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99"/>
        <w:gridCol w:w="878"/>
        <w:gridCol w:w="1068"/>
        <w:gridCol w:w="5977"/>
      </w:tblGrid>
      <w:tr w14:paraId="4F3009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tcBorders>
              <w:tl2br w:val="nil"/>
              <w:tr2bl w:val="nil"/>
            </w:tcBorders>
            <w:vAlign w:val="center"/>
          </w:tcPr>
          <w:p w14:paraId="0BC1C556">
            <w:pPr>
              <w:jc w:val="center"/>
              <w:rPr>
                <w:rFonts w:hint="eastAsia" w:ascii="宋体" w:hAnsi="宋体" w:eastAsia="宋体" w:cs="宋体"/>
                <w:sz w:val="18"/>
                <w:szCs w:val="18"/>
              </w:rPr>
            </w:pPr>
            <w:r>
              <w:rPr>
                <w:rFonts w:hint="eastAsia" w:ascii="宋体" w:hAnsi="宋体" w:eastAsia="宋体" w:cs="宋体"/>
                <w:b/>
                <w:bCs/>
                <w:sz w:val="18"/>
                <w:szCs w:val="18"/>
              </w:rPr>
              <w:t>序号</w:t>
            </w:r>
          </w:p>
        </w:tc>
        <w:tc>
          <w:tcPr>
            <w:tcW w:w="1946" w:type="dxa"/>
            <w:gridSpan w:val="2"/>
            <w:tcBorders>
              <w:tl2br w:val="nil"/>
              <w:tr2bl w:val="nil"/>
            </w:tcBorders>
            <w:vAlign w:val="center"/>
          </w:tcPr>
          <w:p w14:paraId="23BC228D">
            <w:pPr>
              <w:jc w:val="center"/>
              <w:rPr>
                <w:rFonts w:hint="eastAsia" w:ascii="宋体" w:hAnsi="宋体" w:eastAsia="宋体" w:cs="宋体"/>
                <w:sz w:val="18"/>
                <w:szCs w:val="18"/>
              </w:rPr>
            </w:pPr>
            <w:r>
              <w:rPr>
                <w:rFonts w:hint="eastAsia" w:ascii="宋体" w:hAnsi="宋体" w:eastAsia="宋体" w:cs="宋体"/>
                <w:b/>
                <w:bCs/>
                <w:sz w:val="18"/>
                <w:szCs w:val="18"/>
              </w:rPr>
              <w:t>评标因素（权重分）</w:t>
            </w:r>
          </w:p>
        </w:tc>
        <w:tc>
          <w:tcPr>
            <w:tcW w:w="5977" w:type="dxa"/>
            <w:tcBorders>
              <w:tl2br w:val="nil"/>
              <w:tr2bl w:val="nil"/>
            </w:tcBorders>
            <w:vAlign w:val="center"/>
          </w:tcPr>
          <w:p w14:paraId="03863871">
            <w:pPr>
              <w:jc w:val="center"/>
              <w:rPr>
                <w:rFonts w:hint="eastAsia" w:ascii="宋体" w:hAnsi="宋体" w:eastAsia="宋体" w:cs="宋体"/>
                <w:sz w:val="18"/>
                <w:szCs w:val="18"/>
              </w:rPr>
            </w:pPr>
            <w:r>
              <w:rPr>
                <w:rFonts w:hint="eastAsia" w:ascii="宋体" w:hAnsi="宋体" w:eastAsia="宋体" w:cs="宋体"/>
                <w:b/>
                <w:bCs/>
                <w:sz w:val="18"/>
                <w:szCs w:val="18"/>
              </w:rPr>
              <w:t>评标标准</w:t>
            </w:r>
          </w:p>
        </w:tc>
      </w:tr>
      <w:tr w14:paraId="1DD8CB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5" w:hRule="atLeast"/>
        </w:trPr>
        <w:tc>
          <w:tcPr>
            <w:tcW w:w="599" w:type="dxa"/>
            <w:vMerge w:val="restart"/>
            <w:tcBorders>
              <w:tl2br w:val="nil"/>
              <w:tr2bl w:val="nil"/>
            </w:tcBorders>
            <w:vAlign w:val="center"/>
          </w:tcPr>
          <w:p w14:paraId="00F82435">
            <w:pPr>
              <w:jc w:val="center"/>
              <w:rPr>
                <w:rFonts w:hint="eastAsia" w:ascii="宋体" w:hAnsi="宋体" w:eastAsia="宋体" w:cs="新宋体"/>
                <w:kern w:val="0"/>
                <w:sz w:val="18"/>
                <w:szCs w:val="18"/>
              </w:rPr>
            </w:pPr>
            <w:r>
              <w:rPr>
                <w:rFonts w:hint="eastAsia" w:ascii="宋体" w:hAnsi="宋体" w:eastAsia="宋体" w:cs="新宋体"/>
                <w:kern w:val="0"/>
                <w:sz w:val="18"/>
                <w:szCs w:val="18"/>
              </w:rPr>
              <w:t>1</w:t>
            </w:r>
          </w:p>
        </w:tc>
        <w:tc>
          <w:tcPr>
            <w:tcW w:w="878" w:type="dxa"/>
            <w:vMerge w:val="restart"/>
            <w:tcBorders>
              <w:tl2br w:val="nil"/>
              <w:tr2bl w:val="nil"/>
            </w:tcBorders>
            <w:vAlign w:val="center"/>
          </w:tcPr>
          <w:p w14:paraId="4A91B775">
            <w:pPr>
              <w:jc w:val="center"/>
              <w:rPr>
                <w:rFonts w:hint="eastAsia" w:ascii="宋体" w:hAnsi="宋体" w:eastAsia="宋体" w:cs="新宋体"/>
                <w:kern w:val="0"/>
                <w:sz w:val="18"/>
                <w:szCs w:val="18"/>
              </w:rPr>
            </w:pPr>
            <w:r>
              <w:rPr>
                <w:rFonts w:hint="eastAsia" w:ascii="宋体" w:hAnsi="宋体" w:eastAsia="宋体" w:cs="新宋体"/>
                <w:kern w:val="0"/>
                <w:sz w:val="18"/>
                <w:szCs w:val="18"/>
              </w:rPr>
              <w:t>技术评价项</w:t>
            </w:r>
          </w:p>
          <w:p w14:paraId="5337D1CE">
            <w:pPr>
              <w:jc w:val="center"/>
              <w:rPr>
                <w:rFonts w:hint="eastAsia" w:ascii="宋体" w:hAnsi="宋体" w:eastAsia="宋体" w:cs="新宋体"/>
                <w:kern w:val="0"/>
                <w:sz w:val="18"/>
                <w:szCs w:val="18"/>
              </w:rPr>
            </w:pPr>
            <w:r>
              <w:rPr>
                <w:rFonts w:hint="eastAsia" w:ascii="宋体" w:hAnsi="宋体" w:eastAsia="宋体" w:cs="新宋体"/>
                <w:kern w:val="0"/>
                <w:sz w:val="18"/>
                <w:szCs w:val="18"/>
              </w:rPr>
              <w:t>（F=100 分）</w:t>
            </w:r>
          </w:p>
        </w:tc>
        <w:tc>
          <w:tcPr>
            <w:tcW w:w="1068" w:type="dxa"/>
            <w:tcBorders>
              <w:tl2br w:val="nil"/>
              <w:tr2bl w:val="nil"/>
            </w:tcBorders>
            <w:vAlign w:val="center"/>
          </w:tcPr>
          <w:p w14:paraId="1F78AA06">
            <w:pPr>
              <w:jc w:val="center"/>
              <w:rPr>
                <w:rFonts w:hint="eastAsia" w:ascii="宋体" w:hAnsi="宋体" w:eastAsia="宋体" w:cs="新宋体"/>
                <w:kern w:val="0"/>
                <w:sz w:val="18"/>
                <w:szCs w:val="18"/>
              </w:rPr>
            </w:pPr>
            <w:r>
              <w:rPr>
                <w:rFonts w:hint="eastAsia" w:ascii="宋体" w:hAnsi="宋体" w:eastAsia="宋体" w:cs="新宋体"/>
                <w:kern w:val="0"/>
                <w:sz w:val="18"/>
                <w:szCs w:val="18"/>
              </w:rPr>
              <w:t>技术参数响应（60分）</w:t>
            </w:r>
          </w:p>
        </w:tc>
        <w:tc>
          <w:tcPr>
            <w:tcW w:w="5977" w:type="dxa"/>
            <w:tcBorders>
              <w:tl2br w:val="nil"/>
              <w:tr2bl w:val="nil"/>
            </w:tcBorders>
            <w:vAlign w:val="center"/>
          </w:tcPr>
          <w:p w14:paraId="731F6804">
            <w:pPr>
              <w:ind w:firstLine="360" w:firstLineChars="200"/>
              <w:jc w:val="left"/>
              <w:rPr>
                <w:rFonts w:hint="eastAsia" w:ascii="宋体" w:hAnsi="宋体" w:eastAsia="宋体" w:cs="新宋体"/>
                <w:kern w:val="0"/>
                <w:sz w:val="18"/>
                <w:szCs w:val="18"/>
              </w:rPr>
            </w:pPr>
            <w:bookmarkStart w:id="107" w:name="OLE_LINK184"/>
            <w:r>
              <w:rPr>
                <w:rFonts w:hint="eastAsia" w:ascii="宋体" w:hAnsi="宋体" w:eastAsia="宋体" w:cs="新宋体"/>
                <w:kern w:val="0"/>
                <w:sz w:val="18"/>
                <w:szCs w:val="18"/>
              </w:rPr>
              <w:t>技术指标和功能完全符合招标文件第五章第二节技术要求的，没有负偏离得60分。带★的为实质性技术条款，不允许负偏离，否则为无效投标；</w:t>
            </w:r>
            <w:r>
              <w:rPr>
                <w:rFonts w:hint="eastAsia" w:ascii="宋体" w:hAnsi="宋体" w:eastAsia="宋体" w:cs="宋体"/>
                <w:sz w:val="18"/>
                <w:szCs w:val="18"/>
              </w:rPr>
              <w:t>标注“▲”号的为重要技术条款，每负偏离一项扣6分；其他</w:t>
            </w:r>
            <w:r>
              <w:rPr>
                <w:rFonts w:hint="eastAsia" w:ascii="宋体" w:hAnsi="宋体" w:eastAsia="宋体" w:cs="新宋体"/>
                <w:kern w:val="0"/>
                <w:sz w:val="18"/>
                <w:szCs w:val="18"/>
              </w:rPr>
              <w:t>一般技术</w:t>
            </w:r>
            <w:r>
              <w:rPr>
                <w:rFonts w:hint="eastAsia" w:ascii="宋体" w:hAnsi="宋体" w:eastAsia="宋体" w:cs="宋体"/>
                <w:sz w:val="18"/>
                <w:szCs w:val="18"/>
              </w:rPr>
              <w:t>条款（除标注“★”号和“▲”号的属于其他一般技术条款），每负偏离一项扣3分；扣完为止。</w:t>
            </w:r>
          </w:p>
          <w:p w14:paraId="16E6585E">
            <w:pPr>
              <w:ind w:firstLine="360" w:firstLineChars="200"/>
              <w:jc w:val="left"/>
              <w:rPr>
                <w:rFonts w:hint="eastAsia" w:ascii="宋体" w:hAnsi="宋体" w:eastAsia="宋体" w:cs="新宋体"/>
                <w:kern w:val="0"/>
                <w:sz w:val="18"/>
                <w:szCs w:val="18"/>
              </w:rPr>
            </w:pPr>
            <w:r>
              <w:rPr>
                <w:rFonts w:hint="eastAsia" w:ascii="宋体" w:hAnsi="宋体" w:eastAsia="宋体" w:cs="新宋体"/>
                <w:kern w:val="0"/>
                <w:sz w:val="18"/>
                <w:szCs w:val="18"/>
              </w:rPr>
              <w:t>注：投标人应按招标文件技术要求的规定提供相关证明材料，否则，视为偏离；投标文件未提供《货物说明一览表》的，本项不计分。招标文件第五章技术要求中范围或区间指标（如：以“不小于/不大于/≥/≤/＞/＜/-……”等符号加前缀或连接），投标文件《货物说明一览表》中须有对应的固定指标响应，否则视为不满足或负偏离。</w:t>
            </w:r>
            <w:bookmarkEnd w:id="107"/>
          </w:p>
        </w:tc>
      </w:tr>
      <w:tr w14:paraId="00CC4D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83" w:hRule="atLeast"/>
        </w:trPr>
        <w:tc>
          <w:tcPr>
            <w:tcW w:w="599" w:type="dxa"/>
            <w:vMerge w:val="continue"/>
            <w:tcBorders>
              <w:tl2br w:val="nil"/>
              <w:tr2bl w:val="nil"/>
            </w:tcBorders>
            <w:vAlign w:val="center"/>
          </w:tcPr>
          <w:p w14:paraId="210FD736">
            <w:pPr>
              <w:jc w:val="center"/>
              <w:rPr>
                <w:rFonts w:hint="eastAsia" w:ascii="宋体" w:hAnsi="宋体" w:eastAsia="宋体" w:cs="新宋体"/>
                <w:kern w:val="0"/>
                <w:sz w:val="18"/>
                <w:szCs w:val="18"/>
              </w:rPr>
            </w:pPr>
          </w:p>
        </w:tc>
        <w:tc>
          <w:tcPr>
            <w:tcW w:w="878" w:type="dxa"/>
            <w:vMerge w:val="continue"/>
            <w:tcBorders>
              <w:tl2br w:val="nil"/>
              <w:tr2bl w:val="nil"/>
            </w:tcBorders>
            <w:vAlign w:val="center"/>
          </w:tcPr>
          <w:p w14:paraId="77BFF4A0">
            <w:pPr>
              <w:jc w:val="center"/>
              <w:rPr>
                <w:rFonts w:hint="eastAsia" w:ascii="宋体" w:hAnsi="宋体" w:eastAsia="宋体" w:cs="新宋体"/>
                <w:kern w:val="0"/>
                <w:sz w:val="18"/>
                <w:szCs w:val="18"/>
              </w:rPr>
            </w:pPr>
          </w:p>
        </w:tc>
        <w:tc>
          <w:tcPr>
            <w:tcW w:w="1068" w:type="dxa"/>
            <w:tcBorders>
              <w:tl2br w:val="nil"/>
              <w:tr2bl w:val="nil"/>
            </w:tcBorders>
            <w:vAlign w:val="center"/>
          </w:tcPr>
          <w:p w14:paraId="1A189F4E">
            <w:pPr>
              <w:jc w:val="center"/>
              <w:rPr>
                <w:rFonts w:hint="eastAsia" w:ascii="宋体" w:hAnsi="宋体" w:eastAsia="宋体" w:cs="新宋体"/>
                <w:kern w:val="0"/>
                <w:sz w:val="18"/>
                <w:szCs w:val="18"/>
              </w:rPr>
            </w:pPr>
            <w:bookmarkStart w:id="108" w:name="OLE_LINK207"/>
            <w:r>
              <w:rPr>
                <w:rFonts w:hint="eastAsia" w:ascii="宋体" w:hAnsi="宋体" w:eastAsia="宋体" w:cs="新宋体"/>
                <w:kern w:val="0"/>
                <w:sz w:val="18"/>
                <w:szCs w:val="18"/>
              </w:rPr>
              <w:t>项目实施方案</w:t>
            </w:r>
          </w:p>
          <w:bookmarkEnd w:id="108"/>
          <w:p w14:paraId="3DA42C82">
            <w:pPr>
              <w:jc w:val="center"/>
              <w:rPr>
                <w:rFonts w:hint="eastAsia" w:ascii="宋体" w:hAnsi="宋体" w:eastAsia="宋体" w:cs="新宋体"/>
                <w:kern w:val="0"/>
                <w:sz w:val="18"/>
                <w:szCs w:val="18"/>
              </w:rPr>
            </w:pPr>
            <w:r>
              <w:rPr>
                <w:rFonts w:hint="eastAsia" w:ascii="宋体" w:hAnsi="宋体" w:eastAsia="宋体" w:cs="新宋体"/>
                <w:kern w:val="0"/>
                <w:sz w:val="18"/>
                <w:szCs w:val="18"/>
              </w:rPr>
              <w:t>（20分）</w:t>
            </w:r>
          </w:p>
        </w:tc>
        <w:tc>
          <w:tcPr>
            <w:tcW w:w="5977" w:type="dxa"/>
            <w:tcBorders>
              <w:tl2br w:val="nil"/>
              <w:tr2bl w:val="nil"/>
            </w:tcBorders>
            <w:vAlign w:val="center"/>
          </w:tcPr>
          <w:p w14:paraId="5E4C4167">
            <w:pPr>
              <w:ind w:firstLine="360" w:firstLineChars="200"/>
              <w:jc w:val="left"/>
              <w:rPr>
                <w:rFonts w:hint="eastAsia" w:ascii="宋体" w:hAnsi="宋体" w:eastAsia="宋体" w:cs="新宋体"/>
                <w:kern w:val="0"/>
                <w:sz w:val="18"/>
                <w:szCs w:val="18"/>
              </w:rPr>
            </w:pPr>
            <w:bookmarkStart w:id="109" w:name="OLE_LINK188"/>
            <w:r>
              <w:rPr>
                <w:rFonts w:hint="eastAsia" w:ascii="宋体" w:hAnsi="宋体" w:eastAsia="宋体" w:cs="新宋体"/>
                <w:kern w:val="0"/>
                <w:sz w:val="18"/>
                <w:szCs w:val="18"/>
              </w:rPr>
              <w:t>投标人根据采购需求提供针对本项目的实施方案，内容应包括但不限于：①项目实施进度计划安排；②项目人员安排及所需设备配置；③项目质量保障管理措施；④安装调试及安全文明施工方案；⑤项目验收方案等内容。方案包含以上全部内容且结合本项目实际阐述详实、清晰的计20分；内容有缺漏的每处每项扣4分；每有一项内容不完整或不合理或有缺陷或与项目不匹配的扣2分，扣完为止；未提供的不计分。</w:t>
            </w:r>
          </w:p>
          <w:p w14:paraId="2E7605E1">
            <w:pPr>
              <w:ind w:firstLine="360" w:firstLineChars="200"/>
              <w:jc w:val="left"/>
              <w:rPr>
                <w:rFonts w:hint="eastAsia" w:ascii="宋体" w:hAnsi="宋体" w:eastAsia="宋体" w:cs="新宋体"/>
                <w:kern w:val="0"/>
                <w:sz w:val="18"/>
                <w:szCs w:val="18"/>
              </w:rPr>
            </w:pPr>
            <w:r>
              <w:rPr>
                <w:rFonts w:hint="eastAsia" w:ascii="宋体" w:hAnsi="宋体" w:eastAsia="宋体" w:cs="新宋体"/>
                <w:kern w:val="0"/>
                <w:sz w:val="18"/>
                <w:szCs w:val="18"/>
              </w:rPr>
              <w:t>注：内容不完整或不合理或有缺陷或与项目不匹配是指：非专门针对本项目或不适用项目特性的情形、内容不完整或缺少关键节点、套用其他项目方案、内容前后矛盾、涉及的规范及标准错误、不利于项目实施、不可能实现的情形等任意一种情形。</w:t>
            </w:r>
            <w:bookmarkEnd w:id="109"/>
          </w:p>
        </w:tc>
      </w:tr>
      <w:tr w14:paraId="4AADCA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65" w:hRule="atLeast"/>
        </w:trPr>
        <w:tc>
          <w:tcPr>
            <w:tcW w:w="599" w:type="dxa"/>
            <w:vMerge w:val="continue"/>
            <w:tcBorders>
              <w:tl2br w:val="nil"/>
              <w:tr2bl w:val="nil"/>
            </w:tcBorders>
            <w:vAlign w:val="center"/>
          </w:tcPr>
          <w:p w14:paraId="38B59E8E">
            <w:pPr>
              <w:jc w:val="center"/>
              <w:rPr>
                <w:rFonts w:hint="eastAsia" w:ascii="宋体" w:hAnsi="宋体" w:eastAsia="宋体" w:cs="新宋体"/>
                <w:kern w:val="0"/>
                <w:sz w:val="18"/>
                <w:szCs w:val="18"/>
              </w:rPr>
            </w:pPr>
          </w:p>
        </w:tc>
        <w:tc>
          <w:tcPr>
            <w:tcW w:w="878" w:type="dxa"/>
            <w:vMerge w:val="continue"/>
            <w:tcBorders>
              <w:tl2br w:val="nil"/>
              <w:tr2bl w:val="nil"/>
            </w:tcBorders>
            <w:vAlign w:val="center"/>
          </w:tcPr>
          <w:p w14:paraId="2A908076">
            <w:pPr>
              <w:jc w:val="center"/>
              <w:rPr>
                <w:rFonts w:hint="eastAsia" w:ascii="宋体" w:hAnsi="宋体" w:eastAsia="宋体" w:cs="新宋体"/>
                <w:kern w:val="0"/>
                <w:sz w:val="18"/>
                <w:szCs w:val="18"/>
              </w:rPr>
            </w:pPr>
          </w:p>
        </w:tc>
        <w:tc>
          <w:tcPr>
            <w:tcW w:w="1068" w:type="dxa"/>
            <w:tcBorders>
              <w:tl2br w:val="nil"/>
              <w:tr2bl w:val="nil"/>
            </w:tcBorders>
            <w:vAlign w:val="center"/>
          </w:tcPr>
          <w:p w14:paraId="049CE9C4">
            <w:pPr>
              <w:jc w:val="center"/>
              <w:rPr>
                <w:rFonts w:hint="eastAsia" w:ascii="宋体" w:hAnsi="宋体" w:eastAsia="宋体" w:cs="新宋体"/>
                <w:kern w:val="0"/>
                <w:sz w:val="18"/>
                <w:szCs w:val="18"/>
                <w:lang w:eastAsia="en-US"/>
              </w:rPr>
            </w:pPr>
            <w:r>
              <w:rPr>
                <w:rFonts w:hint="eastAsia" w:ascii="宋体" w:hAnsi="宋体" w:eastAsia="宋体" w:cs="新宋体"/>
                <w:kern w:val="0"/>
                <w:sz w:val="18"/>
                <w:szCs w:val="18"/>
                <w:lang w:eastAsia="en-US"/>
              </w:rPr>
              <w:t>培训方案</w:t>
            </w:r>
          </w:p>
          <w:p w14:paraId="12C0AED7">
            <w:pPr>
              <w:jc w:val="center"/>
              <w:rPr>
                <w:rFonts w:hint="eastAsia" w:ascii="宋体" w:hAnsi="宋体" w:eastAsia="宋体" w:cs="新宋体"/>
                <w:kern w:val="0"/>
                <w:sz w:val="18"/>
                <w:szCs w:val="18"/>
              </w:rPr>
            </w:pPr>
            <w:r>
              <w:rPr>
                <w:rFonts w:hint="eastAsia" w:ascii="宋体" w:hAnsi="宋体" w:eastAsia="宋体" w:cs="新宋体"/>
                <w:kern w:val="0"/>
                <w:sz w:val="18"/>
                <w:szCs w:val="18"/>
              </w:rPr>
              <w:t>（20分）</w:t>
            </w:r>
          </w:p>
        </w:tc>
        <w:tc>
          <w:tcPr>
            <w:tcW w:w="5977" w:type="dxa"/>
            <w:tcBorders>
              <w:tl2br w:val="nil"/>
              <w:tr2bl w:val="nil"/>
            </w:tcBorders>
            <w:vAlign w:val="center"/>
          </w:tcPr>
          <w:p w14:paraId="05002F26">
            <w:pPr>
              <w:ind w:firstLine="360" w:firstLineChars="200"/>
              <w:jc w:val="left"/>
              <w:rPr>
                <w:rFonts w:hint="eastAsia" w:ascii="宋体" w:hAnsi="宋体" w:eastAsia="宋体" w:cs="新宋体"/>
                <w:kern w:val="0"/>
                <w:sz w:val="18"/>
                <w:szCs w:val="18"/>
              </w:rPr>
            </w:pPr>
            <w:r>
              <w:rPr>
                <w:rFonts w:hint="eastAsia" w:ascii="宋体" w:hAnsi="宋体" w:eastAsia="宋体" w:cs="新宋体"/>
                <w:kern w:val="0"/>
                <w:sz w:val="18"/>
                <w:szCs w:val="18"/>
              </w:rPr>
              <w:t>投标人根据采购需求提供针对本项目的培训方案，内容应包括但不限于：</w:t>
            </w:r>
            <w:r>
              <w:rPr>
                <w:rFonts w:hint="eastAsia" w:ascii="宋体" w:hAnsi="宋体" w:eastAsia="宋体" w:cs="宋体"/>
                <w:sz w:val="18"/>
                <w:szCs w:val="18"/>
              </w:rPr>
              <w:t>①培训计划、②培训内容、③培训技术力量、④培训资料、⑤培训方式等方案</w:t>
            </w:r>
            <w:r>
              <w:rPr>
                <w:rFonts w:hint="eastAsia" w:ascii="宋体" w:hAnsi="宋体" w:eastAsia="宋体" w:cs="新宋体"/>
                <w:kern w:val="0"/>
                <w:sz w:val="18"/>
                <w:szCs w:val="18"/>
              </w:rPr>
              <w:t>。方案包含以上全部内容且结合本项目实际阐述详实、清晰的计20分；内容有缺漏的每处每项扣</w:t>
            </w:r>
            <w:r>
              <w:rPr>
                <w:rFonts w:hint="eastAsia" w:ascii="宋体" w:hAnsi="宋体" w:eastAsia="宋体" w:cs="宋体"/>
                <w:sz w:val="18"/>
                <w:szCs w:val="18"/>
              </w:rPr>
              <w:t>4分</w:t>
            </w:r>
            <w:r>
              <w:rPr>
                <w:rFonts w:hint="eastAsia" w:ascii="宋体" w:hAnsi="宋体" w:eastAsia="宋体" w:cs="新宋体"/>
                <w:kern w:val="0"/>
                <w:sz w:val="18"/>
                <w:szCs w:val="18"/>
              </w:rPr>
              <w:t>；每有一项内容不完整或不合理或有缺陷或与项目不匹配的扣</w:t>
            </w:r>
            <w:r>
              <w:rPr>
                <w:rFonts w:hint="eastAsia" w:ascii="宋体" w:hAnsi="宋体" w:eastAsia="宋体" w:cs="宋体"/>
                <w:sz w:val="18"/>
                <w:szCs w:val="18"/>
              </w:rPr>
              <w:t>2分</w:t>
            </w:r>
            <w:r>
              <w:rPr>
                <w:rFonts w:hint="eastAsia" w:ascii="宋体" w:hAnsi="宋体" w:eastAsia="宋体" w:cs="新宋体"/>
                <w:kern w:val="0"/>
                <w:sz w:val="18"/>
                <w:szCs w:val="18"/>
              </w:rPr>
              <w:t>，扣完为止；未提供的不计分。</w:t>
            </w:r>
          </w:p>
          <w:p w14:paraId="731D6B64">
            <w:pPr>
              <w:ind w:firstLine="360" w:firstLineChars="200"/>
              <w:jc w:val="left"/>
              <w:rPr>
                <w:rFonts w:hint="eastAsia" w:ascii="宋体" w:hAnsi="宋体" w:eastAsia="宋体" w:cs="新宋体"/>
                <w:kern w:val="0"/>
                <w:sz w:val="18"/>
                <w:szCs w:val="18"/>
              </w:rPr>
            </w:pPr>
            <w:r>
              <w:rPr>
                <w:rFonts w:hint="eastAsia" w:ascii="宋体" w:hAnsi="宋体" w:eastAsia="宋体" w:cs="新宋体"/>
                <w:kern w:val="0"/>
                <w:sz w:val="18"/>
                <w:szCs w:val="18"/>
              </w:rPr>
              <w:t>注：内容不完整或不合理或有缺陷或与项目不匹配是指：非专门针对本项目或不适用项目特性的情形、内容不完整或缺少关键节点、套用其他项目方案、内容前后矛盾、涉及的规范及标准错误、不利于项目实施、不可能实现的情形等任意一种情形。</w:t>
            </w:r>
          </w:p>
        </w:tc>
      </w:tr>
      <w:tr w14:paraId="7ECCDC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tcBorders>
              <w:tl2br w:val="nil"/>
              <w:tr2bl w:val="nil"/>
            </w:tcBorders>
            <w:vAlign w:val="center"/>
          </w:tcPr>
          <w:p w14:paraId="082E005D">
            <w:pPr>
              <w:jc w:val="center"/>
              <w:rPr>
                <w:rFonts w:hint="eastAsia" w:ascii="宋体" w:hAnsi="宋体" w:eastAsia="宋体" w:cs="宋体"/>
                <w:sz w:val="18"/>
                <w:szCs w:val="18"/>
              </w:rPr>
            </w:pPr>
            <w:r>
              <w:rPr>
                <w:rFonts w:hint="eastAsia" w:ascii="宋体" w:hAnsi="宋体" w:eastAsia="宋体" w:cs="宋体"/>
                <w:sz w:val="18"/>
                <w:szCs w:val="18"/>
              </w:rPr>
              <w:t>2</w:t>
            </w:r>
          </w:p>
        </w:tc>
        <w:tc>
          <w:tcPr>
            <w:tcW w:w="1946" w:type="dxa"/>
            <w:gridSpan w:val="2"/>
            <w:tcBorders>
              <w:tl2br w:val="nil"/>
              <w:tr2bl w:val="nil"/>
            </w:tcBorders>
            <w:vAlign w:val="center"/>
          </w:tcPr>
          <w:p w14:paraId="67D0B1DF">
            <w:pPr>
              <w:jc w:val="center"/>
              <w:rPr>
                <w:rFonts w:hint="eastAsia" w:ascii="宋体" w:hAnsi="宋体" w:eastAsia="宋体" w:cs="宋体"/>
                <w:sz w:val="18"/>
                <w:szCs w:val="18"/>
              </w:rPr>
            </w:pPr>
            <w:r>
              <w:rPr>
                <w:rFonts w:hint="eastAsia" w:ascii="宋体" w:hAnsi="宋体" w:eastAsia="宋体" w:cs="宋体"/>
                <w:spacing w:val="-14"/>
                <w:sz w:val="18"/>
                <w:szCs w:val="18"/>
              </w:rPr>
              <w:t>优先采购加分</w:t>
            </w:r>
            <w:r>
              <w:rPr>
                <w:rFonts w:hint="eastAsia" w:ascii="宋体" w:hAnsi="宋体" w:eastAsia="宋体" w:cs="宋体"/>
                <w:sz w:val="18"/>
              </w:rPr>
              <w:t>（F</w:t>
            </w:r>
            <w:r>
              <w:rPr>
                <w:rFonts w:hint="eastAsia" w:ascii="宋体" w:hAnsi="宋体" w:eastAsia="宋体" w:cs="宋体"/>
                <w:spacing w:val="-47"/>
                <w:sz w:val="18"/>
              </w:rPr>
              <w:t xml:space="preserve"> </w:t>
            </w:r>
            <w:r>
              <w:rPr>
                <w:rFonts w:hint="eastAsia" w:ascii="宋体" w:hAnsi="宋体" w:eastAsia="宋体" w:cs="宋体"/>
                <w:position w:val="-2"/>
                <w:sz w:val="9"/>
              </w:rPr>
              <w:t>优先采购加分</w:t>
            </w:r>
            <w:r>
              <w:rPr>
                <w:rFonts w:hint="eastAsia" w:ascii="宋体" w:hAnsi="宋体" w:eastAsia="宋体" w:cs="宋体"/>
                <w:sz w:val="18"/>
              </w:rPr>
              <w:t>）</w:t>
            </w:r>
          </w:p>
        </w:tc>
        <w:tc>
          <w:tcPr>
            <w:tcW w:w="5977" w:type="dxa"/>
            <w:tcBorders>
              <w:tl2br w:val="nil"/>
              <w:tr2bl w:val="nil"/>
            </w:tcBorders>
          </w:tcPr>
          <w:p w14:paraId="4C4499CB">
            <w:pPr>
              <w:ind w:firstLine="480" w:firstLineChars="200"/>
              <w:rPr>
                <w:rFonts w:hint="eastAsia" w:ascii="宋体" w:hAnsi="宋体" w:eastAsia="宋体" w:cs="宋体"/>
                <w:sz w:val="18"/>
                <w:szCs w:val="18"/>
              </w:rPr>
            </w:pPr>
            <w:r>
              <w:rPr>
                <w:rFonts w:ascii="仿宋" w:hAnsi="仿宋" w:eastAsia="仿宋" w:cs="Times New Roman"/>
                <w:position w:val="-16"/>
                <w:sz w:val="24"/>
              </w:rPr>
              <w:object>
                <v:shape id="_x0000_i1026" o:spt="75" type="#_x0000_t75" style="height:21pt;width:101.45pt;" o:ole="t" filled="f" o:preferrelative="t" stroked="f" coordsize="21600,21600">
                  <v:path/>
                  <v:fill on="f" focussize="0,0"/>
                  <v:stroke on="f" joinstyle="miter"/>
                  <v:imagedata r:id="rId13" o:title=""/>
                  <o:lock v:ext="edit" aspectratio="t"/>
                  <w10:wrap type="none"/>
                  <w10:anchorlock/>
                </v:shape>
                <o:OLEObject Type="Embed" ProgID="Equation.3" ShapeID="_x0000_i1026" DrawAspect="Content" ObjectID="_1468075726" r:id="rId14">
                  <o:LockedField>false</o:LockedField>
                </o:OLEObject>
              </w:object>
            </w:r>
            <w:r>
              <w:rPr>
                <w:rFonts w:hint="eastAsia" w:ascii="宋体" w:hAnsi="宋体" w:eastAsia="宋体" w:cs="Times New Roman"/>
                <w:sz w:val="18"/>
                <w:szCs w:val="18"/>
              </w:rPr>
              <w:t>×100×本项目加分比例</w:t>
            </w:r>
          </w:p>
        </w:tc>
      </w:tr>
      <w:tr w14:paraId="51DA24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99" w:type="dxa"/>
            <w:tcBorders>
              <w:tl2br w:val="nil"/>
              <w:tr2bl w:val="nil"/>
            </w:tcBorders>
            <w:vAlign w:val="center"/>
          </w:tcPr>
          <w:p w14:paraId="1426DB74">
            <w:pPr>
              <w:spacing w:before="91"/>
              <w:jc w:val="center"/>
              <w:rPr>
                <w:rFonts w:hint="eastAsia" w:ascii="宋体" w:hAnsi="宋体" w:eastAsia="宋体" w:cs="宋体"/>
                <w:sz w:val="18"/>
                <w:szCs w:val="18"/>
                <w:lang w:val="zh-CN" w:bidi="zh-CN"/>
              </w:rPr>
            </w:pPr>
            <w:r>
              <w:rPr>
                <w:rFonts w:hint="eastAsia" w:ascii="宋体" w:hAnsi="宋体" w:eastAsia="宋体" w:cs="宋体"/>
                <w:sz w:val="18"/>
                <w:szCs w:val="18"/>
                <w:lang w:val="zh-CN" w:bidi="zh-CN"/>
              </w:rPr>
              <w:t>∑</w:t>
            </w:r>
          </w:p>
        </w:tc>
        <w:tc>
          <w:tcPr>
            <w:tcW w:w="7923" w:type="dxa"/>
            <w:gridSpan w:val="3"/>
            <w:tcBorders>
              <w:tl2br w:val="nil"/>
              <w:tr2bl w:val="nil"/>
            </w:tcBorders>
          </w:tcPr>
          <w:p w14:paraId="31BD9A6D">
            <w:pPr>
              <w:spacing w:before="95"/>
              <w:ind w:left="107"/>
              <w:rPr>
                <w:rFonts w:hint="eastAsia" w:ascii="宋体" w:hAnsi="宋体" w:eastAsia="宋体" w:cs="宋体"/>
                <w:sz w:val="18"/>
                <w:szCs w:val="18"/>
                <w:lang w:val="zh-CN" w:bidi="zh-CN"/>
              </w:rPr>
            </w:pPr>
            <w:r>
              <w:rPr>
                <w:rFonts w:hint="eastAsia" w:ascii="宋体" w:hAnsi="宋体" w:eastAsia="宋体" w:cs="宋体"/>
                <w:position w:val="2"/>
                <w:sz w:val="18"/>
                <w:szCs w:val="18"/>
                <w:lang w:val="zh-CN" w:bidi="zh-CN"/>
              </w:rPr>
              <w:t>F</w:t>
            </w:r>
            <w:r>
              <w:rPr>
                <w:rFonts w:hint="eastAsia" w:ascii="宋体" w:hAnsi="宋体" w:eastAsia="宋体" w:cs="宋体"/>
                <w:sz w:val="18"/>
                <w:szCs w:val="18"/>
                <w:lang w:val="zh-CN" w:bidi="zh-CN"/>
              </w:rPr>
              <w:t>1</w:t>
            </w:r>
            <w:r>
              <w:rPr>
                <w:rFonts w:hint="eastAsia" w:ascii="宋体" w:hAnsi="宋体" w:eastAsia="宋体" w:cs="宋体"/>
                <w:position w:val="2"/>
                <w:sz w:val="18"/>
                <w:szCs w:val="18"/>
                <w:lang w:val="zh-CN" w:bidi="zh-CN"/>
              </w:rPr>
              <w:t xml:space="preserve">=F+ F </w:t>
            </w:r>
            <w:r>
              <w:rPr>
                <w:rFonts w:hint="eastAsia" w:ascii="宋体" w:hAnsi="宋体" w:eastAsia="宋体" w:cs="宋体"/>
                <w:sz w:val="18"/>
                <w:szCs w:val="18"/>
                <w:lang w:val="zh-CN" w:bidi="zh-CN"/>
              </w:rPr>
              <w:t>优先采购加分</w:t>
            </w:r>
          </w:p>
        </w:tc>
      </w:tr>
    </w:tbl>
    <w:p w14:paraId="38BD31CD">
      <w:pPr>
        <w:rPr>
          <w:rFonts w:ascii="Times New Roman" w:hAnsi="Times New Roman" w:eastAsia="宋体" w:cs="Times New Roman"/>
        </w:rPr>
      </w:pPr>
      <w:r>
        <w:rPr>
          <w:rFonts w:hint="eastAsia" w:ascii="Times New Roman" w:hAnsi="Times New Roman" w:eastAsia="宋体" w:cs="Times New Roman"/>
        </w:rPr>
        <w:br w:type="page"/>
      </w:r>
    </w:p>
    <w:p w14:paraId="4D2C471C">
      <w:pPr>
        <w:keepNext w:val="0"/>
        <w:widowControl w:val="0"/>
        <w:adjustRightInd w:val="0"/>
        <w:snapToGrid w:val="0"/>
        <w:spacing w:before="161" w:beforeLines="50" w:line="360" w:lineRule="auto"/>
        <w:jc w:val="center"/>
        <w:outlineLvl w:val="0"/>
        <w:rPr>
          <w:rFonts w:hint="eastAsia" w:ascii="宋体" w:hAnsi="宋体" w:eastAsia="宋体" w:cs="宋体"/>
          <w:b/>
          <w:bCs/>
          <w:kern w:val="2"/>
          <w:sz w:val="32"/>
          <w:szCs w:val="32"/>
          <w:lang w:val="en-US" w:eastAsia="zh-CN" w:bidi="ar-SA"/>
        </w:rPr>
      </w:pPr>
      <w:bookmarkStart w:id="110" w:name="_Toc8556"/>
      <w:r>
        <w:rPr>
          <w:rFonts w:hint="eastAsia" w:ascii="宋体" w:hAnsi="宋体" w:eastAsia="宋体" w:cs="宋体"/>
          <w:b/>
          <w:bCs/>
          <w:kern w:val="2"/>
          <w:sz w:val="32"/>
          <w:szCs w:val="32"/>
          <w:lang w:val="en-US" w:eastAsia="zh-CN" w:bidi="ar-SA"/>
        </w:rPr>
        <w:t xml:space="preserve">第五章 </w:t>
      </w:r>
      <w:bookmarkStart w:id="111" w:name="_Hlk186710711"/>
      <w:bookmarkStart w:id="112" w:name="OLE_LINK41"/>
      <w:r>
        <w:rPr>
          <w:rFonts w:hint="eastAsia" w:ascii="宋体" w:hAnsi="宋体" w:eastAsia="宋体" w:cs="宋体"/>
          <w:b/>
          <w:bCs/>
          <w:kern w:val="2"/>
          <w:sz w:val="32"/>
          <w:szCs w:val="32"/>
          <w:lang w:val="en-US" w:eastAsia="zh-CN" w:bidi="ar-SA"/>
        </w:rPr>
        <w:t>采购需求</w:t>
      </w:r>
      <w:bookmarkEnd w:id="110"/>
    </w:p>
    <w:p w14:paraId="36B0DB82">
      <w:pPr>
        <w:keepNext/>
        <w:keepLines/>
        <w:adjustRightInd w:val="0"/>
        <w:snapToGrid w:val="0"/>
        <w:spacing w:before="161" w:beforeLines="50" w:line="360" w:lineRule="auto"/>
        <w:jc w:val="center"/>
        <w:outlineLvl w:val="1"/>
        <w:rPr>
          <w:rFonts w:hint="eastAsia" w:ascii="黑体" w:hAnsi="黑体" w:eastAsia="黑体" w:cs="Times New Roman"/>
          <w:b/>
          <w:bCs/>
          <w:sz w:val="28"/>
          <w:szCs w:val="28"/>
        </w:rPr>
      </w:pPr>
      <w:bookmarkStart w:id="113" w:name="_Toc27822"/>
      <w:bookmarkStart w:id="114" w:name="OLE_LINK11"/>
      <w:bookmarkStart w:id="115" w:name="_Hlk7184255"/>
      <w:r>
        <w:rPr>
          <w:rFonts w:hint="eastAsia" w:ascii="黑体" w:hAnsi="黑体" w:eastAsia="黑体" w:cs="Times New Roman"/>
          <w:b/>
          <w:bCs/>
          <w:sz w:val="28"/>
          <w:szCs w:val="28"/>
        </w:rPr>
        <w:t>第一节 采购清单一览表</w:t>
      </w:r>
      <w:bookmarkEnd w:id="113"/>
    </w:p>
    <w:tbl>
      <w:tblPr>
        <w:tblStyle w:val="2"/>
        <w:tblW w:w="8856" w:type="dxa"/>
        <w:tblInd w:w="91" w:type="dxa"/>
        <w:tblLayout w:type="fixed"/>
        <w:tblCellMar>
          <w:top w:w="0" w:type="dxa"/>
          <w:left w:w="108" w:type="dxa"/>
          <w:bottom w:w="0" w:type="dxa"/>
          <w:right w:w="108" w:type="dxa"/>
        </w:tblCellMar>
      </w:tblPr>
      <w:tblGrid>
        <w:gridCol w:w="463"/>
        <w:gridCol w:w="732"/>
        <w:gridCol w:w="634"/>
        <w:gridCol w:w="1171"/>
        <w:gridCol w:w="1195"/>
        <w:gridCol w:w="646"/>
        <w:gridCol w:w="622"/>
        <w:gridCol w:w="719"/>
        <w:gridCol w:w="732"/>
        <w:gridCol w:w="1122"/>
        <w:gridCol w:w="820"/>
      </w:tblGrid>
      <w:tr w14:paraId="7898A8AB">
        <w:tblPrEx>
          <w:tblCellMar>
            <w:top w:w="0" w:type="dxa"/>
            <w:left w:w="108" w:type="dxa"/>
            <w:bottom w:w="0" w:type="dxa"/>
            <w:right w:w="108" w:type="dxa"/>
          </w:tblCellMar>
        </w:tblPrEx>
        <w:trPr>
          <w:trHeight w:val="330" w:hRule="atLeast"/>
        </w:trPr>
        <w:tc>
          <w:tcPr>
            <w:tcW w:w="463" w:type="dxa"/>
            <w:vMerge w:val="restart"/>
            <w:tcBorders>
              <w:top w:val="single" w:color="000000" w:sz="4" w:space="0"/>
              <w:left w:val="single" w:color="000000" w:sz="4" w:space="0"/>
              <w:bottom w:val="single" w:color="000000" w:sz="4" w:space="0"/>
              <w:right w:val="single" w:color="000000" w:sz="4" w:space="0"/>
            </w:tcBorders>
            <w:noWrap/>
            <w:vAlign w:val="center"/>
          </w:tcPr>
          <w:p w14:paraId="39E1D80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包号</w:t>
            </w:r>
          </w:p>
        </w:tc>
        <w:tc>
          <w:tcPr>
            <w:tcW w:w="732" w:type="dxa"/>
            <w:vMerge w:val="restart"/>
            <w:tcBorders>
              <w:top w:val="single" w:color="000000" w:sz="4" w:space="0"/>
              <w:left w:val="single" w:color="000000" w:sz="4" w:space="0"/>
              <w:bottom w:val="single" w:color="000000" w:sz="4" w:space="0"/>
              <w:right w:val="single" w:color="000000" w:sz="4" w:space="0"/>
            </w:tcBorders>
            <w:vAlign w:val="center"/>
          </w:tcPr>
          <w:p w14:paraId="282866AC">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包名称</w:t>
            </w:r>
          </w:p>
        </w:tc>
        <w:tc>
          <w:tcPr>
            <w:tcW w:w="634" w:type="dxa"/>
            <w:vMerge w:val="restart"/>
            <w:tcBorders>
              <w:top w:val="single" w:color="000000" w:sz="4" w:space="0"/>
              <w:left w:val="single" w:color="000000" w:sz="4" w:space="0"/>
              <w:bottom w:val="single" w:color="000000" w:sz="4" w:space="0"/>
              <w:right w:val="single" w:color="000000" w:sz="4" w:space="0"/>
            </w:tcBorders>
            <w:vAlign w:val="center"/>
          </w:tcPr>
          <w:p w14:paraId="30F792D3">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序号</w:t>
            </w:r>
          </w:p>
        </w:tc>
        <w:tc>
          <w:tcPr>
            <w:tcW w:w="1171" w:type="dxa"/>
            <w:vMerge w:val="restart"/>
            <w:tcBorders>
              <w:top w:val="single" w:color="000000" w:sz="4" w:space="0"/>
              <w:left w:val="single" w:color="000000" w:sz="4" w:space="0"/>
              <w:bottom w:val="single" w:color="000000" w:sz="4" w:space="0"/>
              <w:right w:val="single" w:color="000000" w:sz="4" w:space="0"/>
            </w:tcBorders>
            <w:vAlign w:val="center"/>
          </w:tcPr>
          <w:p w14:paraId="24C8874A">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标的名称</w:t>
            </w:r>
          </w:p>
        </w:tc>
        <w:tc>
          <w:tcPr>
            <w:tcW w:w="1195" w:type="dxa"/>
            <w:vMerge w:val="restart"/>
            <w:tcBorders>
              <w:top w:val="single" w:color="000000" w:sz="4" w:space="0"/>
              <w:left w:val="single" w:color="000000" w:sz="4" w:space="0"/>
              <w:bottom w:val="single" w:color="000000" w:sz="4" w:space="0"/>
              <w:right w:val="single" w:color="000000" w:sz="4" w:space="0"/>
            </w:tcBorders>
            <w:vAlign w:val="center"/>
          </w:tcPr>
          <w:p w14:paraId="3BFAE52B">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简要技术要求</w:t>
            </w:r>
          </w:p>
        </w:tc>
        <w:tc>
          <w:tcPr>
            <w:tcW w:w="646" w:type="dxa"/>
            <w:vMerge w:val="restart"/>
            <w:tcBorders>
              <w:top w:val="single" w:color="000000" w:sz="4" w:space="0"/>
              <w:left w:val="single" w:color="000000" w:sz="4" w:space="0"/>
              <w:bottom w:val="single" w:color="000000" w:sz="4" w:space="0"/>
              <w:right w:val="single" w:color="000000" w:sz="4" w:space="0"/>
            </w:tcBorders>
            <w:vAlign w:val="center"/>
          </w:tcPr>
          <w:p w14:paraId="233680C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数量</w:t>
            </w:r>
          </w:p>
        </w:tc>
        <w:tc>
          <w:tcPr>
            <w:tcW w:w="622" w:type="dxa"/>
            <w:vMerge w:val="restart"/>
            <w:tcBorders>
              <w:top w:val="single" w:color="000000" w:sz="4" w:space="0"/>
              <w:left w:val="single" w:color="000000" w:sz="4" w:space="0"/>
              <w:bottom w:val="single" w:color="000000" w:sz="4" w:space="0"/>
              <w:right w:val="single" w:color="000000" w:sz="4" w:space="0"/>
            </w:tcBorders>
            <w:vAlign w:val="center"/>
          </w:tcPr>
          <w:p w14:paraId="7CF84509">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单位</w:t>
            </w:r>
          </w:p>
        </w:tc>
        <w:tc>
          <w:tcPr>
            <w:tcW w:w="719" w:type="dxa"/>
            <w:vMerge w:val="restart"/>
            <w:tcBorders>
              <w:top w:val="single" w:color="000000" w:sz="4" w:space="0"/>
              <w:left w:val="single" w:color="000000" w:sz="4" w:space="0"/>
              <w:bottom w:val="single" w:color="000000" w:sz="4" w:space="0"/>
              <w:right w:val="single" w:color="000000" w:sz="4" w:space="0"/>
            </w:tcBorders>
            <w:vAlign w:val="center"/>
          </w:tcPr>
          <w:p w14:paraId="5B7D612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节能产品</w:t>
            </w:r>
          </w:p>
        </w:tc>
        <w:tc>
          <w:tcPr>
            <w:tcW w:w="732" w:type="dxa"/>
            <w:vMerge w:val="restart"/>
            <w:tcBorders>
              <w:top w:val="single" w:color="000000" w:sz="4" w:space="0"/>
              <w:left w:val="single" w:color="000000" w:sz="4" w:space="0"/>
              <w:bottom w:val="single" w:color="000000" w:sz="4" w:space="0"/>
              <w:right w:val="single" w:color="000000" w:sz="4" w:space="0"/>
            </w:tcBorders>
            <w:vAlign w:val="center"/>
          </w:tcPr>
          <w:p w14:paraId="740605BD">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进口产品</w:t>
            </w:r>
          </w:p>
        </w:tc>
        <w:tc>
          <w:tcPr>
            <w:tcW w:w="1122" w:type="dxa"/>
            <w:vMerge w:val="restart"/>
            <w:tcBorders>
              <w:top w:val="single" w:color="000000" w:sz="4" w:space="0"/>
              <w:left w:val="single" w:color="000000" w:sz="4" w:space="0"/>
              <w:bottom w:val="single" w:color="000000" w:sz="4" w:space="0"/>
              <w:right w:val="single" w:color="000000" w:sz="4" w:space="0"/>
            </w:tcBorders>
            <w:vAlign w:val="center"/>
          </w:tcPr>
          <w:p w14:paraId="2617104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最高单价限价（元）</w:t>
            </w:r>
          </w:p>
        </w:tc>
        <w:tc>
          <w:tcPr>
            <w:tcW w:w="820" w:type="dxa"/>
            <w:vMerge w:val="restart"/>
            <w:tcBorders>
              <w:top w:val="single" w:color="000000" w:sz="4" w:space="0"/>
              <w:left w:val="single" w:color="000000" w:sz="4" w:space="0"/>
              <w:bottom w:val="single" w:color="000000" w:sz="4" w:space="0"/>
              <w:right w:val="single" w:color="000000" w:sz="4" w:space="0"/>
            </w:tcBorders>
            <w:vAlign w:val="center"/>
          </w:tcPr>
          <w:p w14:paraId="5DD968DC">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备注</w:t>
            </w:r>
          </w:p>
        </w:tc>
      </w:tr>
      <w:tr w14:paraId="5948AD06">
        <w:tblPrEx>
          <w:tblCellMar>
            <w:top w:w="0" w:type="dxa"/>
            <w:left w:w="108" w:type="dxa"/>
            <w:bottom w:w="0" w:type="dxa"/>
            <w:right w:w="108" w:type="dxa"/>
          </w:tblCellMar>
        </w:tblPrEx>
        <w:trPr>
          <w:trHeight w:val="51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138BA5C7">
            <w:pPr>
              <w:jc w:val="center"/>
              <w:rPr>
                <w:rFonts w:hint="eastAsia" w:ascii="宋体" w:hAnsi="宋体" w:eastAsia="宋体" w:cs="宋体"/>
                <w:b/>
                <w:bCs/>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vAlign w:val="center"/>
          </w:tcPr>
          <w:p w14:paraId="6F638E4B">
            <w:pPr>
              <w:jc w:val="center"/>
              <w:rPr>
                <w:rFonts w:hint="eastAsia" w:ascii="宋体" w:hAnsi="宋体" w:eastAsia="宋体" w:cs="宋体"/>
                <w:b/>
                <w:bCs/>
                <w:color w:val="000000"/>
                <w:szCs w:val="21"/>
              </w:rPr>
            </w:pPr>
          </w:p>
        </w:tc>
        <w:tc>
          <w:tcPr>
            <w:tcW w:w="634" w:type="dxa"/>
            <w:vMerge w:val="continue"/>
            <w:tcBorders>
              <w:top w:val="single" w:color="000000" w:sz="4" w:space="0"/>
              <w:left w:val="single" w:color="000000" w:sz="4" w:space="0"/>
              <w:bottom w:val="single" w:color="000000" w:sz="4" w:space="0"/>
              <w:right w:val="single" w:color="000000" w:sz="4" w:space="0"/>
            </w:tcBorders>
            <w:vAlign w:val="center"/>
          </w:tcPr>
          <w:p w14:paraId="5956CCA1">
            <w:pPr>
              <w:jc w:val="center"/>
              <w:rPr>
                <w:rFonts w:hint="eastAsia" w:ascii="宋体" w:hAnsi="宋体" w:eastAsia="宋体" w:cs="宋体"/>
                <w:b/>
                <w:bCs/>
                <w:color w:val="000000"/>
                <w:szCs w:val="21"/>
              </w:rPr>
            </w:pPr>
          </w:p>
        </w:tc>
        <w:tc>
          <w:tcPr>
            <w:tcW w:w="1171" w:type="dxa"/>
            <w:vMerge w:val="continue"/>
            <w:tcBorders>
              <w:top w:val="single" w:color="000000" w:sz="4" w:space="0"/>
              <w:left w:val="single" w:color="000000" w:sz="4" w:space="0"/>
              <w:bottom w:val="single" w:color="000000" w:sz="4" w:space="0"/>
              <w:right w:val="single" w:color="000000" w:sz="4" w:space="0"/>
            </w:tcBorders>
            <w:vAlign w:val="center"/>
          </w:tcPr>
          <w:p w14:paraId="71F52037">
            <w:pPr>
              <w:jc w:val="center"/>
              <w:rPr>
                <w:rFonts w:hint="eastAsia" w:ascii="宋体" w:hAnsi="宋体" w:eastAsia="宋体" w:cs="宋体"/>
                <w:b/>
                <w:bCs/>
                <w:color w:val="000000"/>
                <w:szCs w:val="21"/>
              </w:rPr>
            </w:pPr>
          </w:p>
        </w:tc>
        <w:tc>
          <w:tcPr>
            <w:tcW w:w="1195" w:type="dxa"/>
            <w:vMerge w:val="continue"/>
            <w:tcBorders>
              <w:top w:val="single" w:color="000000" w:sz="4" w:space="0"/>
              <w:left w:val="single" w:color="000000" w:sz="4" w:space="0"/>
              <w:bottom w:val="single" w:color="000000" w:sz="4" w:space="0"/>
              <w:right w:val="single" w:color="000000" w:sz="4" w:space="0"/>
            </w:tcBorders>
            <w:vAlign w:val="center"/>
          </w:tcPr>
          <w:p w14:paraId="63E1D51D">
            <w:pPr>
              <w:jc w:val="center"/>
              <w:rPr>
                <w:rFonts w:hint="eastAsia" w:ascii="宋体" w:hAnsi="宋体" w:eastAsia="宋体" w:cs="宋体"/>
                <w:b/>
                <w:bCs/>
                <w:color w:val="000000"/>
                <w:szCs w:val="21"/>
              </w:rPr>
            </w:pPr>
          </w:p>
        </w:tc>
        <w:tc>
          <w:tcPr>
            <w:tcW w:w="646" w:type="dxa"/>
            <w:vMerge w:val="continue"/>
            <w:tcBorders>
              <w:top w:val="single" w:color="000000" w:sz="4" w:space="0"/>
              <w:left w:val="single" w:color="000000" w:sz="4" w:space="0"/>
              <w:bottom w:val="single" w:color="000000" w:sz="4" w:space="0"/>
              <w:right w:val="single" w:color="000000" w:sz="4" w:space="0"/>
            </w:tcBorders>
            <w:vAlign w:val="center"/>
          </w:tcPr>
          <w:p w14:paraId="69B9B28B">
            <w:pPr>
              <w:jc w:val="center"/>
              <w:rPr>
                <w:rFonts w:hint="eastAsia" w:ascii="宋体" w:hAnsi="宋体" w:eastAsia="宋体" w:cs="宋体"/>
                <w:b/>
                <w:bCs/>
                <w:color w:val="000000"/>
                <w:szCs w:val="21"/>
              </w:rPr>
            </w:pPr>
          </w:p>
        </w:tc>
        <w:tc>
          <w:tcPr>
            <w:tcW w:w="622" w:type="dxa"/>
            <w:vMerge w:val="continue"/>
            <w:tcBorders>
              <w:top w:val="single" w:color="000000" w:sz="4" w:space="0"/>
              <w:left w:val="single" w:color="000000" w:sz="4" w:space="0"/>
              <w:bottom w:val="single" w:color="000000" w:sz="4" w:space="0"/>
              <w:right w:val="single" w:color="000000" w:sz="4" w:space="0"/>
            </w:tcBorders>
            <w:vAlign w:val="center"/>
          </w:tcPr>
          <w:p w14:paraId="140365C0">
            <w:pPr>
              <w:jc w:val="center"/>
              <w:rPr>
                <w:rFonts w:hint="eastAsia" w:ascii="宋体" w:hAnsi="宋体" w:eastAsia="宋体" w:cs="宋体"/>
                <w:b/>
                <w:bCs/>
                <w:color w:val="000000"/>
                <w:szCs w:val="21"/>
              </w:rPr>
            </w:pPr>
          </w:p>
        </w:tc>
        <w:tc>
          <w:tcPr>
            <w:tcW w:w="719" w:type="dxa"/>
            <w:vMerge w:val="continue"/>
            <w:tcBorders>
              <w:top w:val="single" w:color="000000" w:sz="4" w:space="0"/>
              <w:left w:val="single" w:color="000000" w:sz="4" w:space="0"/>
              <w:bottom w:val="single" w:color="000000" w:sz="4" w:space="0"/>
              <w:right w:val="single" w:color="000000" w:sz="4" w:space="0"/>
            </w:tcBorders>
            <w:vAlign w:val="center"/>
          </w:tcPr>
          <w:p w14:paraId="616335C3">
            <w:pPr>
              <w:jc w:val="center"/>
              <w:rPr>
                <w:rFonts w:hint="eastAsia" w:ascii="宋体" w:hAnsi="宋体" w:eastAsia="宋体" w:cs="宋体"/>
                <w:b/>
                <w:bCs/>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vAlign w:val="center"/>
          </w:tcPr>
          <w:p w14:paraId="361270D4">
            <w:pPr>
              <w:jc w:val="center"/>
              <w:rPr>
                <w:rFonts w:hint="eastAsia" w:ascii="宋体" w:hAnsi="宋体" w:eastAsia="宋体" w:cs="宋体"/>
                <w:b/>
                <w:bCs/>
                <w:color w:val="000000"/>
                <w:szCs w:val="21"/>
              </w:rPr>
            </w:pPr>
          </w:p>
        </w:tc>
        <w:tc>
          <w:tcPr>
            <w:tcW w:w="1122" w:type="dxa"/>
            <w:vMerge w:val="continue"/>
            <w:tcBorders>
              <w:top w:val="single" w:color="000000" w:sz="4" w:space="0"/>
              <w:left w:val="single" w:color="000000" w:sz="4" w:space="0"/>
              <w:bottom w:val="single" w:color="000000" w:sz="4" w:space="0"/>
              <w:right w:val="single" w:color="000000" w:sz="4" w:space="0"/>
            </w:tcBorders>
            <w:vAlign w:val="center"/>
          </w:tcPr>
          <w:p w14:paraId="7C7F3992">
            <w:pPr>
              <w:jc w:val="center"/>
              <w:rPr>
                <w:rFonts w:hint="eastAsia" w:ascii="宋体" w:hAnsi="宋体" w:eastAsia="宋体" w:cs="宋体"/>
                <w:b/>
                <w:bCs/>
                <w:color w:val="000000"/>
                <w:szCs w:val="21"/>
              </w:rPr>
            </w:pPr>
          </w:p>
        </w:tc>
        <w:tc>
          <w:tcPr>
            <w:tcW w:w="820" w:type="dxa"/>
            <w:vMerge w:val="continue"/>
            <w:tcBorders>
              <w:top w:val="single" w:color="000000" w:sz="4" w:space="0"/>
              <w:left w:val="single" w:color="000000" w:sz="4" w:space="0"/>
              <w:bottom w:val="single" w:color="000000" w:sz="4" w:space="0"/>
              <w:right w:val="single" w:color="000000" w:sz="4" w:space="0"/>
            </w:tcBorders>
            <w:vAlign w:val="center"/>
          </w:tcPr>
          <w:p w14:paraId="37D09DF6">
            <w:pPr>
              <w:jc w:val="center"/>
              <w:rPr>
                <w:rFonts w:hint="eastAsia" w:ascii="宋体" w:hAnsi="宋体" w:eastAsia="宋体" w:cs="宋体"/>
                <w:b/>
                <w:bCs/>
                <w:color w:val="000000"/>
                <w:szCs w:val="21"/>
              </w:rPr>
            </w:pPr>
          </w:p>
        </w:tc>
      </w:tr>
      <w:tr w14:paraId="3B7E9FF6">
        <w:tblPrEx>
          <w:tblCellMar>
            <w:top w:w="0" w:type="dxa"/>
            <w:left w:w="108" w:type="dxa"/>
            <w:bottom w:w="0" w:type="dxa"/>
            <w:right w:w="108" w:type="dxa"/>
          </w:tblCellMar>
        </w:tblPrEx>
        <w:trPr>
          <w:trHeight w:val="495" w:hRule="atLeast"/>
        </w:trPr>
        <w:tc>
          <w:tcPr>
            <w:tcW w:w="463" w:type="dxa"/>
            <w:vMerge w:val="restart"/>
            <w:tcBorders>
              <w:top w:val="single" w:color="000000" w:sz="4" w:space="0"/>
              <w:left w:val="single" w:color="000000" w:sz="4" w:space="0"/>
              <w:bottom w:val="single" w:color="000000" w:sz="4" w:space="0"/>
              <w:right w:val="single" w:color="000000" w:sz="4" w:space="0"/>
            </w:tcBorders>
            <w:noWrap/>
            <w:vAlign w:val="center"/>
          </w:tcPr>
          <w:p w14:paraId="5422A408">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732" w:type="dxa"/>
            <w:vMerge w:val="restart"/>
            <w:tcBorders>
              <w:top w:val="single" w:color="000000" w:sz="4" w:space="0"/>
              <w:left w:val="single" w:color="000000" w:sz="4" w:space="0"/>
              <w:bottom w:val="single" w:color="000000" w:sz="4" w:space="0"/>
              <w:right w:val="single" w:color="000000" w:sz="4" w:space="0"/>
            </w:tcBorders>
            <w:noWrap/>
            <w:vAlign w:val="center"/>
          </w:tcPr>
          <w:p w14:paraId="4FFBB37A">
            <w:pPr>
              <w:widowControl/>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湖南化工职业技术学院生物医药与功能材料工程技术中心—仪器与配套设备购置项目</w:t>
            </w: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062130BB">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72E8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超高纯手套箱</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259FEA06">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1B5E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B607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577F9183">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53FE43DA">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DE64C">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148500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64F8E539">
            <w:pPr>
              <w:rPr>
                <w:rFonts w:hint="eastAsia" w:ascii="宋体" w:hAnsi="宋体" w:eastAsia="宋体" w:cs="宋体"/>
                <w:color w:val="000000"/>
                <w:szCs w:val="21"/>
              </w:rPr>
            </w:pPr>
          </w:p>
        </w:tc>
      </w:tr>
      <w:tr w14:paraId="1C272B5B">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03CB7B8F">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304FD299">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014F1386">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CAA49">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多通道电池测试系统</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680D8B9C">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1C3D9">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3566A">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3B0700A4">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6B06F25">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49092">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98000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094AF860">
            <w:pPr>
              <w:rPr>
                <w:rFonts w:hint="eastAsia" w:ascii="宋体" w:hAnsi="宋体" w:eastAsia="宋体" w:cs="宋体"/>
                <w:color w:val="000000"/>
                <w:szCs w:val="21"/>
              </w:rPr>
            </w:pPr>
          </w:p>
        </w:tc>
      </w:tr>
      <w:tr w14:paraId="42257ADD">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25B7098B">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79F5D7E8">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6768EB3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3</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5B56A">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行星式离心混料机</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3EDD8211">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3A8DB">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1BBD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6690F31C">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1CB739A">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ED381">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44000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1AA4DFAC">
            <w:pPr>
              <w:rPr>
                <w:rFonts w:hint="eastAsia" w:ascii="宋体" w:hAnsi="宋体" w:eastAsia="宋体" w:cs="宋体"/>
                <w:color w:val="000000"/>
                <w:szCs w:val="21"/>
              </w:rPr>
            </w:pPr>
          </w:p>
        </w:tc>
      </w:tr>
      <w:tr w14:paraId="5A9B106F">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32E73EA9">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6C5BB315">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14F216BB">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4</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EBF34">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加热型磁力搅拌器</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1BD9FB5E">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D17F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C6DB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3A6AC8CC">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DA60B7C">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35190">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4500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3E2CE006">
            <w:pPr>
              <w:rPr>
                <w:rFonts w:hint="eastAsia" w:ascii="宋体" w:hAnsi="宋体" w:eastAsia="宋体" w:cs="宋体"/>
                <w:color w:val="000000"/>
                <w:szCs w:val="21"/>
              </w:rPr>
            </w:pPr>
          </w:p>
        </w:tc>
      </w:tr>
      <w:tr w14:paraId="2CDD5794">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09D24C64">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63C9588A">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3E569986">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5</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C7908">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精密内阻测试仪</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5FCBE918">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A189C">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ED8C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3DE0699F">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540CC4E">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ABA7C">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11750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2500DAF9">
            <w:pPr>
              <w:rPr>
                <w:rFonts w:hint="eastAsia" w:ascii="宋体" w:hAnsi="宋体" w:eastAsia="宋体" w:cs="宋体"/>
                <w:color w:val="000000"/>
                <w:szCs w:val="21"/>
              </w:rPr>
            </w:pPr>
          </w:p>
        </w:tc>
      </w:tr>
      <w:tr w14:paraId="4B7ADD99">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4275A06F">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359889BB">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37E8A8B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6</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E6AB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双级旋片式真空泵</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1F72068B">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1BE5C">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0D4A5">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170A9649">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C3427EB">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C1B17">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2350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47D82E73">
            <w:pPr>
              <w:rPr>
                <w:rFonts w:hint="eastAsia" w:ascii="宋体" w:hAnsi="宋体" w:eastAsia="宋体" w:cs="宋体"/>
                <w:color w:val="000000"/>
                <w:szCs w:val="21"/>
              </w:rPr>
            </w:pPr>
          </w:p>
        </w:tc>
      </w:tr>
      <w:tr w14:paraId="2965F857">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43941F08">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247757B1">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116BD65A">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7</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B053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双温区管式炉</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4ED537D3">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B6FE5">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080A7">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21A4660E">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AEBE367">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FC8BA">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20350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6F444708">
            <w:pPr>
              <w:rPr>
                <w:rFonts w:hint="eastAsia" w:ascii="宋体" w:hAnsi="宋体" w:eastAsia="宋体" w:cs="宋体"/>
                <w:color w:val="000000"/>
                <w:szCs w:val="21"/>
              </w:rPr>
            </w:pPr>
          </w:p>
        </w:tc>
      </w:tr>
      <w:tr w14:paraId="246FFFED">
        <w:tblPrEx>
          <w:tblCellMar>
            <w:top w:w="0" w:type="dxa"/>
            <w:left w:w="108" w:type="dxa"/>
            <w:bottom w:w="0" w:type="dxa"/>
            <w:right w:w="108" w:type="dxa"/>
          </w:tblCellMar>
        </w:tblPrEx>
        <w:trPr>
          <w:trHeight w:val="27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47F4F3F4">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1B3FA305">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735DC650">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8</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DE08C">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电动对辊机</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30EC53DF">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A52F9">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E06C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71C7D97C">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AEF6349">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09719">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15650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33718109">
            <w:pPr>
              <w:rPr>
                <w:rFonts w:hint="eastAsia" w:ascii="宋体" w:hAnsi="宋体" w:eastAsia="宋体" w:cs="宋体"/>
                <w:color w:val="000000"/>
                <w:szCs w:val="21"/>
              </w:rPr>
            </w:pPr>
          </w:p>
        </w:tc>
      </w:tr>
      <w:tr w14:paraId="53E894EF">
        <w:tblPrEx>
          <w:tblCellMar>
            <w:top w:w="0" w:type="dxa"/>
            <w:left w:w="108" w:type="dxa"/>
            <w:bottom w:w="0" w:type="dxa"/>
            <w:right w:w="108" w:type="dxa"/>
          </w:tblCellMar>
        </w:tblPrEx>
        <w:trPr>
          <w:trHeight w:val="27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77B9EFC6">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3330867A">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67A3C06C">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9</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9E1BA">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真空干燥箱</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4BF56507">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189D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4</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113A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1DDCE49D">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E3B0BD0">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10DEA">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16500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2CBFC4AB">
            <w:pPr>
              <w:rPr>
                <w:rFonts w:hint="eastAsia" w:ascii="宋体" w:hAnsi="宋体" w:eastAsia="宋体" w:cs="宋体"/>
                <w:color w:val="000000"/>
                <w:szCs w:val="21"/>
              </w:rPr>
            </w:pPr>
          </w:p>
        </w:tc>
      </w:tr>
      <w:tr w14:paraId="6AD88CB0">
        <w:tblPrEx>
          <w:tblCellMar>
            <w:top w:w="0" w:type="dxa"/>
            <w:left w:w="108" w:type="dxa"/>
            <w:bottom w:w="0" w:type="dxa"/>
            <w:right w:w="108" w:type="dxa"/>
          </w:tblCellMar>
        </w:tblPrEx>
        <w:trPr>
          <w:trHeight w:val="27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1CA6733D">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389F998B">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5DD22DA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10</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F514A">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电子天平</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294E5EFF">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F31A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1C044">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0179EBAA">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D528F15">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7E68F">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11550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1864B74C">
            <w:pPr>
              <w:rPr>
                <w:rFonts w:hint="eastAsia" w:ascii="宋体" w:hAnsi="宋体" w:eastAsia="宋体" w:cs="宋体"/>
                <w:color w:val="000000"/>
                <w:szCs w:val="21"/>
              </w:rPr>
            </w:pPr>
          </w:p>
        </w:tc>
      </w:tr>
      <w:tr w14:paraId="1DC77720">
        <w:tblPrEx>
          <w:tblCellMar>
            <w:top w:w="0" w:type="dxa"/>
            <w:left w:w="108" w:type="dxa"/>
            <w:bottom w:w="0" w:type="dxa"/>
            <w:right w:w="108" w:type="dxa"/>
          </w:tblCellMar>
        </w:tblPrEx>
        <w:trPr>
          <w:trHeight w:val="27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109A30FB">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0655B62C">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213A772D">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11</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AADD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分析天平</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5DED2A83">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4D00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CD68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6B301346">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E6050DA">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A8EBE">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41500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7012D6CD">
            <w:pPr>
              <w:rPr>
                <w:rFonts w:hint="eastAsia" w:ascii="宋体" w:hAnsi="宋体" w:eastAsia="宋体" w:cs="宋体"/>
                <w:color w:val="000000"/>
                <w:szCs w:val="21"/>
              </w:rPr>
            </w:pPr>
          </w:p>
        </w:tc>
      </w:tr>
      <w:tr w14:paraId="5BC63D8C">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0831DBD2">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7BCACEEB">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2E710016">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12</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D296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研磨机</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39CB27D8">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45CDD">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B6A7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0DA1464F">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F12F2B4">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5D177">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70000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35716F43">
            <w:pPr>
              <w:rPr>
                <w:rFonts w:hint="eastAsia" w:ascii="宋体" w:hAnsi="宋体" w:eastAsia="宋体" w:cs="宋体"/>
                <w:color w:val="000000"/>
                <w:szCs w:val="21"/>
              </w:rPr>
            </w:pPr>
          </w:p>
        </w:tc>
      </w:tr>
      <w:tr w14:paraId="2AD37007">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5F340663">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69E5FEB2">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3768E0BC">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13</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25F9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红外烘干平板涂覆机</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1D9B09A4">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D98DD">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E50A4">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3C18952C">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61F7A8D">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D243A">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21800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1D5396F8">
            <w:pPr>
              <w:rPr>
                <w:rFonts w:hint="eastAsia" w:ascii="宋体" w:hAnsi="宋体" w:eastAsia="宋体" w:cs="宋体"/>
                <w:color w:val="000000"/>
                <w:szCs w:val="21"/>
              </w:rPr>
            </w:pPr>
          </w:p>
        </w:tc>
      </w:tr>
      <w:tr w14:paraId="4D98CFBB">
        <w:tblPrEx>
          <w:tblCellMar>
            <w:top w:w="0" w:type="dxa"/>
            <w:left w:w="108" w:type="dxa"/>
            <w:bottom w:w="0" w:type="dxa"/>
            <w:right w:w="108" w:type="dxa"/>
          </w:tblCellMar>
        </w:tblPrEx>
        <w:trPr>
          <w:trHeight w:val="72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0C7D7E69">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456728A8">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218F9CC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14</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F7AA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手动切片机</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3E904CA1">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883AC">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02664">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310D9A0E">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1DBC8C0">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15A66">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6500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09E5BD38">
            <w:pPr>
              <w:rPr>
                <w:rFonts w:hint="eastAsia" w:ascii="宋体" w:hAnsi="宋体" w:eastAsia="宋体" w:cs="宋体"/>
                <w:color w:val="000000"/>
                <w:szCs w:val="21"/>
              </w:rPr>
            </w:pPr>
          </w:p>
        </w:tc>
      </w:tr>
      <w:tr w14:paraId="7EB28F2D">
        <w:tblPrEx>
          <w:tblCellMar>
            <w:top w:w="0" w:type="dxa"/>
            <w:left w:w="108" w:type="dxa"/>
            <w:bottom w:w="0" w:type="dxa"/>
            <w:right w:w="108" w:type="dxa"/>
          </w:tblCellMar>
        </w:tblPrEx>
        <w:trPr>
          <w:trHeight w:val="72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7A661039">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38894C00">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0635680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15</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5A293">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压力可控电动扣式电池封口机</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099AB1CE">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3DB7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83855">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0505DA44">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C931DD2">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BE731">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10500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6F111DD6">
            <w:pPr>
              <w:rPr>
                <w:rFonts w:hint="eastAsia" w:ascii="宋体" w:hAnsi="宋体" w:eastAsia="宋体" w:cs="宋体"/>
                <w:color w:val="000000"/>
                <w:szCs w:val="21"/>
              </w:rPr>
            </w:pPr>
          </w:p>
        </w:tc>
      </w:tr>
      <w:tr w14:paraId="2A48F528">
        <w:tblPrEx>
          <w:tblCellMar>
            <w:top w:w="0" w:type="dxa"/>
            <w:left w:w="108" w:type="dxa"/>
            <w:bottom w:w="0" w:type="dxa"/>
            <w:right w:w="108" w:type="dxa"/>
          </w:tblCellMar>
        </w:tblPrEx>
        <w:trPr>
          <w:trHeight w:val="27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232BBC0B">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5FD9ADDD">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3CEFD625">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16</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721A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减震工作台</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3ED215AC">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64ED0">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A478C">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1B77925D">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5536BEB8">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F76E1">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7000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0DC06E02">
            <w:pPr>
              <w:rPr>
                <w:rFonts w:hint="eastAsia" w:ascii="宋体" w:hAnsi="宋体" w:eastAsia="宋体" w:cs="宋体"/>
                <w:color w:val="000000"/>
                <w:szCs w:val="21"/>
              </w:rPr>
            </w:pPr>
          </w:p>
        </w:tc>
      </w:tr>
      <w:tr w14:paraId="6A198D2B">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4BF1BC5F">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13D4753C">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58A247C7">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17</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873FC">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微量移液器</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2D766A75">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ED12A">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AF6C0">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台</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24A8E9F6">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F243D68">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4C415">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3135</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4AF31280">
            <w:pPr>
              <w:rPr>
                <w:rFonts w:hint="eastAsia" w:ascii="宋体" w:hAnsi="宋体" w:eastAsia="宋体" w:cs="宋体"/>
                <w:color w:val="000000"/>
                <w:szCs w:val="21"/>
              </w:rPr>
            </w:pPr>
          </w:p>
        </w:tc>
      </w:tr>
      <w:tr w14:paraId="08DBDCE5">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71498E33">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2DE123BA">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3124714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18</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BBC43">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超声波清洗机</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69124B00">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43815">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86BD9">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台</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13CE452B">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B403439">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051FD">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3000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07F62451">
            <w:pPr>
              <w:rPr>
                <w:rFonts w:hint="eastAsia" w:ascii="宋体" w:hAnsi="宋体" w:eastAsia="宋体" w:cs="宋体"/>
                <w:color w:val="000000"/>
                <w:szCs w:val="21"/>
              </w:rPr>
            </w:pPr>
          </w:p>
        </w:tc>
      </w:tr>
      <w:tr w14:paraId="00AABCFC">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75B5E9C5">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5ED62DB0">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59A3B458">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19</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A7406">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鼓风干燥箱</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5B520523">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BEC66">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8F959">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台</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65127B36">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10DA315">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615A6">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2266</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5CE963E9">
            <w:pPr>
              <w:rPr>
                <w:rFonts w:hint="eastAsia" w:ascii="宋体" w:hAnsi="宋体" w:eastAsia="宋体" w:cs="宋体"/>
                <w:color w:val="000000"/>
                <w:szCs w:val="21"/>
              </w:rPr>
            </w:pPr>
          </w:p>
        </w:tc>
      </w:tr>
      <w:tr w14:paraId="2BDDC882">
        <w:tblPrEx>
          <w:tblCellMar>
            <w:top w:w="0" w:type="dxa"/>
            <w:left w:w="108" w:type="dxa"/>
            <w:bottom w:w="0" w:type="dxa"/>
            <w:right w:w="108" w:type="dxa"/>
          </w:tblCellMar>
        </w:tblPrEx>
        <w:trPr>
          <w:trHeight w:val="72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3120D322">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5350930C">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55261494">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20</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0526D">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小型超声筛分系统</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0E96DF37">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DFC9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15014">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66F9F3D1">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E0B8FFD">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FA870">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9600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540DAE1F">
            <w:pPr>
              <w:rPr>
                <w:rFonts w:hint="eastAsia" w:ascii="宋体" w:hAnsi="宋体" w:eastAsia="宋体" w:cs="宋体"/>
                <w:color w:val="000000"/>
                <w:szCs w:val="21"/>
              </w:rPr>
            </w:pPr>
          </w:p>
        </w:tc>
      </w:tr>
      <w:tr w14:paraId="4616688C">
        <w:tblPrEx>
          <w:tblCellMar>
            <w:top w:w="0" w:type="dxa"/>
            <w:left w:w="108" w:type="dxa"/>
            <w:bottom w:w="0" w:type="dxa"/>
            <w:right w:w="108" w:type="dxa"/>
          </w:tblCellMar>
        </w:tblPrEx>
        <w:trPr>
          <w:trHeight w:val="72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7661F69E">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273F11F9">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39A139A0">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21</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C837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LCD 数控顶置式电子搅拌器</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3BBD66D8">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F3FDD">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1E17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台</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4594814E">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D3161B4">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E2477">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4300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74499642">
            <w:pPr>
              <w:rPr>
                <w:rFonts w:hint="eastAsia" w:ascii="宋体" w:hAnsi="宋体" w:eastAsia="宋体" w:cs="宋体"/>
                <w:color w:val="000000"/>
                <w:szCs w:val="21"/>
              </w:rPr>
            </w:pPr>
          </w:p>
        </w:tc>
      </w:tr>
      <w:tr w14:paraId="096C6B07">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64B5A563">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2796C1B3">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5D91B7BB">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22</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27A9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防爆型化学品存储柜</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2366D8A4">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1CBD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6D7A4">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2FCBA02C">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1CC798C">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FC73B">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7500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516ACDF7">
            <w:pPr>
              <w:rPr>
                <w:rFonts w:hint="eastAsia" w:ascii="宋体" w:hAnsi="宋体" w:eastAsia="宋体" w:cs="宋体"/>
                <w:color w:val="000000"/>
                <w:szCs w:val="21"/>
              </w:rPr>
            </w:pPr>
          </w:p>
        </w:tc>
      </w:tr>
      <w:tr w14:paraId="33EFE67E">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1F52AD68">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41D33BA8">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5FA483C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23</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165A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气瓶柜</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4484ABA1">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906AC">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1BD64">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060B750E">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09657C2">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14D66">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4500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06F30412">
            <w:pPr>
              <w:rPr>
                <w:rFonts w:hint="eastAsia" w:ascii="宋体" w:hAnsi="宋体" w:eastAsia="宋体" w:cs="宋体"/>
                <w:color w:val="000000"/>
                <w:szCs w:val="21"/>
              </w:rPr>
            </w:pPr>
          </w:p>
        </w:tc>
      </w:tr>
      <w:tr w14:paraId="6D24243C">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156A3798">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26E38CD0">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029DC77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24</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8FAE6">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双工位超高纯手套箱</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5FBE3EA2">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5A365">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A2BA9">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0D39E7A9">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178FC24">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D97F8">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300000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1C6BC2FD">
            <w:pPr>
              <w:rPr>
                <w:rFonts w:hint="eastAsia" w:ascii="宋体" w:hAnsi="宋体" w:eastAsia="宋体" w:cs="宋体"/>
                <w:color w:val="000000"/>
                <w:szCs w:val="21"/>
              </w:rPr>
            </w:pPr>
          </w:p>
        </w:tc>
      </w:tr>
      <w:tr w14:paraId="24236724">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1E8EFC76">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6E77F0E3">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0A61333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25</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7B840">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高精度电化学工作站</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33644A37">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FE717">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11F4B">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33AA5418">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868DA03">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06EE5">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190000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2F2B1DCF">
            <w:pPr>
              <w:rPr>
                <w:rFonts w:hint="eastAsia" w:ascii="宋体" w:hAnsi="宋体" w:eastAsia="宋体" w:cs="宋体"/>
                <w:color w:val="000000"/>
                <w:szCs w:val="21"/>
              </w:rPr>
            </w:pPr>
          </w:p>
        </w:tc>
      </w:tr>
      <w:tr w14:paraId="5C50BCD1">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7D389ADA">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7F99A809">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44D05170">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26</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10C6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平板热压机</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1CD4C526">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C0977">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3D8B8">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143DF76B">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8497EEB">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6B5F2">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84000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7ECEBDB5">
            <w:pPr>
              <w:rPr>
                <w:rFonts w:hint="eastAsia" w:ascii="宋体" w:hAnsi="宋体" w:eastAsia="宋体" w:cs="宋体"/>
                <w:color w:val="000000"/>
                <w:szCs w:val="21"/>
              </w:rPr>
            </w:pPr>
          </w:p>
        </w:tc>
      </w:tr>
      <w:tr w14:paraId="3F3F03B1">
        <w:tblPrEx>
          <w:tblCellMar>
            <w:top w:w="0" w:type="dxa"/>
            <w:left w:w="108" w:type="dxa"/>
            <w:bottom w:w="0" w:type="dxa"/>
            <w:right w:w="108" w:type="dxa"/>
          </w:tblCellMar>
        </w:tblPrEx>
        <w:trPr>
          <w:trHeight w:val="96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206885B4">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64DE13D2">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36AB396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27</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6F824">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高效振实融合包覆机</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292A6C59">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B620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D971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0EDB202F">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76E6D17">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BBFCE">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350000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04DA2160">
            <w:pPr>
              <w:rPr>
                <w:rFonts w:hint="eastAsia" w:ascii="宋体" w:hAnsi="宋体" w:eastAsia="宋体" w:cs="宋体"/>
                <w:color w:val="000000"/>
                <w:szCs w:val="21"/>
              </w:rPr>
            </w:pPr>
          </w:p>
        </w:tc>
      </w:tr>
      <w:tr w14:paraId="1E256114">
        <w:tblPrEx>
          <w:tblCellMar>
            <w:top w:w="0" w:type="dxa"/>
            <w:left w:w="108" w:type="dxa"/>
            <w:bottom w:w="0" w:type="dxa"/>
            <w:right w:w="108" w:type="dxa"/>
          </w:tblCellMar>
        </w:tblPrEx>
        <w:trPr>
          <w:trHeight w:val="96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6F7D7065">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3A4DBD64">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536771FB">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28</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C7D0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特制大容量（5L）惰性气体保护粉碎机</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22A657E2">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62BC0">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95CDC">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297C4448">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F544843">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4FE77">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580000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60830A0C">
            <w:pPr>
              <w:rPr>
                <w:rFonts w:hint="eastAsia" w:ascii="宋体" w:hAnsi="宋体" w:eastAsia="宋体" w:cs="宋体"/>
                <w:color w:val="000000"/>
                <w:szCs w:val="21"/>
              </w:rPr>
            </w:pPr>
          </w:p>
        </w:tc>
      </w:tr>
      <w:tr w14:paraId="7BCFB1EC">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1B09F344">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67C6379D">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3A507FEA">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29</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813D7">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高温箱式气氛炉</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112E0529">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8B88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B190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379D3961">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5AF0B7E">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89EAA">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49005</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2DCBBAF2">
            <w:pPr>
              <w:rPr>
                <w:rFonts w:hint="eastAsia" w:ascii="宋体" w:hAnsi="宋体" w:eastAsia="宋体" w:cs="宋体"/>
                <w:color w:val="000000"/>
                <w:szCs w:val="21"/>
              </w:rPr>
            </w:pPr>
          </w:p>
        </w:tc>
      </w:tr>
      <w:tr w14:paraId="559095ED">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69E9AD08">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44A00750">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4A45681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30</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841DB">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紫外可见分光光度计</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2EC34B2C">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79DF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300EA">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3EA6ED18">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4E294A0">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C8EFA">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94000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16B5BFED">
            <w:pPr>
              <w:rPr>
                <w:rFonts w:hint="eastAsia" w:ascii="宋体" w:hAnsi="宋体" w:eastAsia="宋体" w:cs="宋体"/>
                <w:color w:val="000000"/>
                <w:szCs w:val="21"/>
              </w:rPr>
            </w:pPr>
          </w:p>
        </w:tc>
      </w:tr>
      <w:tr w14:paraId="5786FB55">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26D49318">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441BCC12">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7970ABE6">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31</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F7CD4">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微波闭式消解仪</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1FE4CEF9">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4E6F9">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DA0F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55961580">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9C3B88C">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BC606">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4800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6138B50F">
            <w:pPr>
              <w:rPr>
                <w:rFonts w:hint="eastAsia" w:ascii="宋体" w:hAnsi="宋体" w:eastAsia="宋体" w:cs="宋体"/>
                <w:color w:val="000000"/>
                <w:szCs w:val="21"/>
              </w:rPr>
            </w:pPr>
          </w:p>
        </w:tc>
      </w:tr>
      <w:tr w14:paraId="43ABB80D">
        <w:tblPrEx>
          <w:tblCellMar>
            <w:top w:w="0" w:type="dxa"/>
            <w:left w:w="108" w:type="dxa"/>
            <w:bottom w:w="0" w:type="dxa"/>
            <w:right w:w="108" w:type="dxa"/>
          </w:tblCellMar>
        </w:tblPrEx>
        <w:trPr>
          <w:trHeight w:val="27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7064C185">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6460FCC2">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77CD789D">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32</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90C95">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pH计</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2A847930">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9DDBC">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C5115">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2B2F8007">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584F4783">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7448E">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3850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1E8DDEDE">
            <w:pPr>
              <w:rPr>
                <w:rFonts w:hint="eastAsia" w:ascii="宋体" w:hAnsi="宋体" w:eastAsia="宋体" w:cs="宋体"/>
                <w:color w:val="000000"/>
                <w:szCs w:val="21"/>
              </w:rPr>
            </w:pPr>
          </w:p>
        </w:tc>
      </w:tr>
      <w:tr w14:paraId="23860926">
        <w:tblPrEx>
          <w:tblCellMar>
            <w:top w:w="0" w:type="dxa"/>
            <w:left w:w="108" w:type="dxa"/>
            <w:bottom w:w="0" w:type="dxa"/>
            <w:right w:w="108" w:type="dxa"/>
          </w:tblCellMar>
        </w:tblPrEx>
        <w:trPr>
          <w:trHeight w:val="27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2DC0968D">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505C722B">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0594B863">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33</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25C7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电导率仪</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7F534641">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B2ED0">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FBD7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1115AC79">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78650D6">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7E208">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4850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630720E6">
            <w:pPr>
              <w:rPr>
                <w:rFonts w:hint="eastAsia" w:ascii="宋体" w:hAnsi="宋体" w:eastAsia="宋体" w:cs="宋体"/>
                <w:color w:val="000000"/>
                <w:szCs w:val="21"/>
              </w:rPr>
            </w:pPr>
          </w:p>
        </w:tc>
      </w:tr>
      <w:tr w14:paraId="385B259F">
        <w:tblPrEx>
          <w:tblCellMar>
            <w:top w:w="0" w:type="dxa"/>
            <w:left w:w="108" w:type="dxa"/>
            <w:bottom w:w="0" w:type="dxa"/>
            <w:right w:w="108" w:type="dxa"/>
          </w:tblCellMar>
        </w:tblPrEx>
        <w:trPr>
          <w:trHeight w:val="27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6819B85D">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3DC2C584">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74202AD9">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34</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8B52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恒温振荡器</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7BE974D9">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49C1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44676">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1B201A99">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9A931A1">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1C35C">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7950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32105A0B">
            <w:pPr>
              <w:rPr>
                <w:rFonts w:hint="eastAsia" w:ascii="宋体" w:hAnsi="宋体" w:eastAsia="宋体" w:cs="宋体"/>
                <w:color w:val="000000"/>
                <w:szCs w:val="21"/>
              </w:rPr>
            </w:pPr>
          </w:p>
        </w:tc>
      </w:tr>
      <w:tr w14:paraId="422A46CC">
        <w:tblPrEx>
          <w:tblCellMar>
            <w:top w:w="0" w:type="dxa"/>
            <w:left w:w="108" w:type="dxa"/>
            <w:bottom w:w="0" w:type="dxa"/>
            <w:right w:w="108" w:type="dxa"/>
          </w:tblCellMar>
        </w:tblPrEx>
        <w:trPr>
          <w:trHeight w:val="27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1BBF257F">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0F0E3FB9">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30AF53BB">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35</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BF743">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冰箱</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1EB9A660">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06CF7">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13380">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0BB15AF8">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DFB88AD">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7319C">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4950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7FF70290">
            <w:pPr>
              <w:rPr>
                <w:rFonts w:hint="eastAsia" w:ascii="宋体" w:hAnsi="宋体" w:eastAsia="宋体" w:cs="宋体"/>
                <w:color w:val="000000"/>
                <w:szCs w:val="21"/>
              </w:rPr>
            </w:pPr>
          </w:p>
        </w:tc>
      </w:tr>
      <w:tr w14:paraId="565B3A44">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6AEADCF1">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4F2B0BC7">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416F9F7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36</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49D3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鼓风干燥箱</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4D4F7DA0">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343B4">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955C4">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367BFFF8">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E1796AC">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C2C8E">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6000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5A464F40">
            <w:pPr>
              <w:rPr>
                <w:rFonts w:hint="eastAsia" w:ascii="宋体" w:hAnsi="宋体" w:eastAsia="宋体" w:cs="宋体"/>
                <w:color w:val="000000"/>
                <w:szCs w:val="21"/>
              </w:rPr>
            </w:pPr>
          </w:p>
        </w:tc>
      </w:tr>
      <w:tr w14:paraId="1B7D393B">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04D731C0">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4E9C4D91">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5D58A41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37</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B0BB3">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0.1mg分析天平</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531C9E9A">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D6C37">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D2D89">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2438930C">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96E08A1">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DD716">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14000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2E415596">
            <w:pPr>
              <w:rPr>
                <w:rFonts w:hint="eastAsia" w:ascii="宋体" w:hAnsi="宋体" w:eastAsia="宋体" w:cs="宋体"/>
                <w:color w:val="000000"/>
                <w:szCs w:val="21"/>
              </w:rPr>
            </w:pPr>
          </w:p>
        </w:tc>
      </w:tr>
      <w:tr w14:paraId="339437A7">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2E0948D4">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353BAFED">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4DD8F8C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38</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DCB48">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0.1g电子天平</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4CFC57D5">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25595">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9E86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2534B45F">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1F85FE6">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3EE04">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3000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404F0C36">
            <w:pPr>
              <w:rPr>
                <w:rFonts w:hint="eastAsia" w:ascii="宋体" w:hAnsi="宋体" w:eastAsia="宋体" w:cs="宋体"/>
                <w:color w:val="000000"/>
                <w:szCs w:val="21"/>
              </w:rPr>
            </w:pPr>
          </w:p>
        </w:tc>
      </w:tr>
      <w:tr w14:paraId="120BA3B9">
        <w:tblPrEx>
          <w:tblCellMar>
            <w:top w:w="0" w:type="dxa"/>
            <w:left w:w="108" w:type="dxa"/>
            <w:bottom w:w="0" w:type="dxa"/>
            <w:right w:w="108" w:type="dxa"/>
          </w:tblCellMar>
        </w:tblPrEx>
        <w:trPr>
          <w:trHeight w:val="72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5827D8CF">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0BB5608F">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4845FBE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39</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CCDD7">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超净工作台</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14D1888D">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03BB9">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0126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66BDFBD6">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1733076">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6F209">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25000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1A5034F0">
            <w:pPr>
              <w:rPr>
                <w:rFonts w:hint="eastAsia" w:ascii="宋体" w:hAnsi="宋体" w:eastAsia="宋体" w:cs="宋体"/>
                <w:color w:val="000000"/>
                <w:szCs w:val="21"/>
              </w:rPr>
            </w:pPr>
          </w:p>
        </w:tc>
      </w:tr>
      <w:tr w14:paraId="107696C2">
        <w:tblPrEx>
          <w:tblCellMar>
            <w:top w:w="0" w:type="dxa"/>
            <w:left w:w="108" w:type="dxa"/>
            <w:bottom w:w="0" w:type="dxa"/>
            <w:right w:w="108" w:type="dxa"/>
          </w:tblCellMar>
        </w:tblPrEx>
        <w:trPr>
          <w:trHeight w:val="72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63949D16">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575B4DA0">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64BDDDE5">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40</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6942C">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离心分离机（高速冷冻型）</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289F5119">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7024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E26B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74C12A87">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1897647">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B57BD">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80000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59B1AE3F">
            <w:pPr>
              <w:rPr>
                <w:rFonts w:hint="eastAsia" w:ascii="宋体" w:hAnsi="宋体" w:eastAsia="宋体" w:cs="宋体"/>
                <w:color w:val="000000"/>
                <w:szCs w:val="21"/>
              </w:rPr>
            </w:pPr>
          </w:p>
        </w:tc>
      </w:tr>
      <w:tr w14:paraId="31226B02">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308256B0">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134458FC">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4016741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41</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1820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-80℃超低温冰箱</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75974726">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1648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991B0">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62E6EB32">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FD9CA55">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411AB">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60000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7596B172">
            <w:pPr>
              <w:rPr>
                <w:rFonts w:hint="eastAsia" w:ascii="宋体" w:hAnsi="宋体" w:eastAsia="宋体" w:cs="宋体"/>
                <w:color w:val="000000"/>
                <w:szCs w:val="21"/>
              </w:rPr>
            </w:pPr>
          </w:p>
        </w:tc>
      </w:tr>
      <w:tr w14:paraId="497C916C">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10700AAA">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3555D48E">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38C8194A">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42</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EED38">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真空冷冻干燥机</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735F662A">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F5DF5">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44DDA">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24CB99D6">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1D9611D">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F5C1D">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54800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7A2DC8C8">
            <w:pPr>
              <w:rPr>
                <w:rFonts w:hint="eastAsia" w:ascii="宋体" w:hAnsi="宋体" w:eastAsia="宋体" w:cs="宋体"/>
                <w:color w:val="000000"/>
                <w:szCs w:val="21"/>
              </w:rPr>
            </w:pPr>
          </w:p>
        </w:tc>
      </w:tr>
      <w:tr w14:paraId="152E3761">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4AE3C44F">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1EEEF001">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4F7A2004">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43</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B2880">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智能人工气候箱</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61BD7151">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120D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4DD73">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0DF0515C">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576DDBF6">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C4648">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15000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024110CD">
            <w:pPr>
              <w:rPr>
                <w:rFonts w:hint="eastAsia" w:ascii="宋体" w:hAnsi="宋体" w:eastAsia="宋体" w:cs="宋体"/>
                <w:color w:val="000000"/>
                <w:szCs w:val="21"/>
              </w:rPr>
            </w:pPr>
          </w:p>
        </w:tc>
      </w:tr>
      <w:tr w14:paraId="17763F8A">
        <w:tblPrEx>
          <w:tblCellMar>
            <w:top w:w="0" w:type="dxa"/>
            <w:left w:w="108" w:type="dxa"/>
            <w:bottom w:w="0" w:type="dxa"/>
            <w:right w:w="108" w:type="dxa"/>
          </w:tblCellMar>
        </w:tblPrEx>
        <w:trPr>
          <w:trHeight w:val="27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290F52D8">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4BE9E157">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66769B46">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44</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FB00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恒温培养箱</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138025EE">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BCFD6">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11D4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52EE2E00">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66788B9">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4E911">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5000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7A9DEC11">
            <w:pPr>
              <w:rPr>
                <w:rFonts w:hint="eastAsia" w:ascii="宋体" w:hAnsi="宋体" w:eastAsia="宋体" w:cs="宋体"/>
                <w:color w:val="000000"/>
                <w:szCs w:val="21"/>
              </w:rPr>
            </w:pPr>
          </w:p>
        </w:tc>
      </w:tr>
      <w:tr w14:paraId="56C92B67">
        <w:tblPrEx>
          <w:tblCellMar>
            <w:top w:w="0" w:type="dxa"/>
            <w:left w:w="108" w:type="dxa"/>
            <w:bottom w:w="0" w:type="dxa"/>
            <w:right w:w="108" w:type="dxa"/>
          </w:tblCellMar>
        </w:tblPrEx>
        <w:trPr>
          <w:trHeight w:val="27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2E70523F">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26100ECF">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5114DF75">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45</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D778D">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摇床</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6D703336">
            <w:pPr>
              <w:widowControl/>
              <w:jc w:val="left"/>
              <w:textAlignment w:val="center"/>
              <w:rPr>
                <w:rFonts w:hint="eastAsia" w:ascii="宋体" w:hAnsi="宋体" w:eastAsia="宋体" w:cs="宋体"/>
                <w:szCs w:val="21"/>
              </w:rPr>
            </w:pPr>
            <w:r>
              <w:rPr>
                <w:rFonts w:hint="eastAsia" w:ascii="宋体" w:hAnsi="宋体" w:eastAsia="宋体" w:cs="宋体"/>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99A67">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51797">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7576E234">
            <w:pPr>
              <w:jc w:val="center"/>
              <w:rPr>
                <w:rFonts w:hint="eastAsia" w:ascii="宋体" w:hAnsi="宋体" w:eastAsia="宋体" w:cs="宋体"/>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CD0E9BC">
            <w:pPr>
              <w:jc w:val="center"/>
              <w:rPr>
                <w:rFonts w:hint="eastAsia" w:ascii="宋体" w:hAnsi="宋体" w:eastAsia="宋体" w:cs="宋体"/>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3D373">
            <w:pPr>
              <w:widowControl/>
              <w:jc w:val="center"/>
              <w:textAlignment w:val="bottom"/>
              <w:rPr>
                <w:rFonts w:hint="eastAsia" w:ascii="宋体" w:hAnsi="宋体" w:eastAsia="宋体" w:cs="宋体"/>
                <w:szCs w:val="21"/>
              </w:rPr>
            </w:pPr>
            <w:r>
              <w:rPr>
                <w:rFonts w:hint="eastAsia" w:ascii="宋体" w:hAnsi="宋体" w:eastAsia="宋体" w:cs="宋体"/>
                <w:kern w:val="0"/>
                <w:szCs w:val="21"/>
                <w:lang w:bidi="ar"/>
              </w:rPr>
              <w:t>15000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18F3A9E3">
            <w:pPr>
              <w:rPr>
                <w:rFonts w:hint="eastAsia" w:ascii="宋体" w:hAnsi="宋体" w:eastAsia="宋体" w:cs="宋体"/>
                <w:szCs w:val="21"/>
              </w:rPr>
            </w:pPr>
          </w:p>
        </w:tc>
      </w:tr>
      <w:tr w14:paraId="166E31D5">
        <w:tblPrEx>
          <w:tblCellMar>
            <w:top w:w="0" w:type="dxa"/>
            <w:left w:w="108" w:type="dxa"/>
            <w:bottom w:w="0" w:type="dxa"/>
            <w:right w:w="108" w:type="dxa"/>
          </w:tblCellMar>
        </w:tblPrEx>
        <w:trPr>
          <w:trHeight w:val="27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7E92E242">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63FF07FE">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49E28B97">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46</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2046A">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酶标仪</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354000D8">
            <w:pPr>
              <w:widowControl/>
              <w:jc w:val="left"/>
              <w:textAlignment w:val="center"/>
              <w:rPr>
                <w:rFonts w:hint="eastAsia" w:ascii="宋体" w:hAnsi="宋体" w:eastAsia="宋体" w:cs="宋体"/>
                <w:szCs w:val="21"/>
              </w:rPr>
            </w:pPr>
            <w:r>
              <w:rPr>
                <w:rFonts w:hint="eastAsia" w:ascii="宋体" w:hAnsi="宋体" w:eastAsia="宋体" w:cs="宋体"/>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D29FE">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0F913">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609014DC">
            <w:pPr>
              <w:jc w:val="center"/>
              <w:rPr>
                <w:rFonts w:hint="eastAsia" w:ascii="宋体" w:hAnsi="宋体" w:eastAsia="宋体" w:cs="宋体"/>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27D164A">
            <w:pPr>
              <w:jc w:val="center"/>
              <w:rPr>
                <w:rFonts w:hint="eastAsia" w:ascii="宋体" w:hAnsi="宋体" w:eastAsia="宋体" w:cs="宋体"/>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CCA9B">
            <w:pPr>
              <w:widowControl/>
              <w:jc w:val="center"/>
              <w:textAlignment w:val="bottom"/>
              <w:rPr>
                <w:rFonts w:hint="eastAsia" w:ascii="宋体" w:hAnsi="宋体" w:eastAsia="宋体" w:cs="宋体"/>
                <w:szCs w:val="21"/>
              </w:rPr>
            </w:pPr>
            <w:r>
              <w:rPr>
                <w:rFonts w:hint="eastAsia" w:ascii="宋体" w:hAnsi="宋体" w:eastAsia="宋体" w:cs="宋体"/>
                <w:kern w:val="0"/>
                <w:szCs w:val="21"/>
                <w:lang w:bidi="ar"/>
              </w:rPr>
              <w:t>462000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42857F37">
            <w:pPr>
              <w:rPr>
                <w:rFonts w:hint="eastAsia" w:ascii="宋体" w:hAnsi="宋体" w:eastAsia="宋体" w:cs="宋体"/>
                <w:szCs w:val="21"/>
              </w:rPr>
            </w:pPr>
            <w:r>
              <w:rPr>
                <w:rFonts w:hint="eastAsia" w:ascii="宋体" w:hAnsi="宋体" w:eastAsia="宋体" w:cs="宋体"/>
                <w:sz w:val="20"/>
                <w:szCs w:val="20"/>
              </w:rPr>
              <w:t>核心产品</w:t>
            </w:r>
          </w:p>
        </w:tc>
      </w:tr>
      <w:tr w14:paraId="4681A382">
        <w:tblPrEx>
          <w:tblCellMar>
            <w:top w:w="0" w:type="dxa"/>
            <w:left w:w="108" w:type="dxa"/>
            <w:bottom w:w="0" w:type="dxa"/>
            <w:right w:w="108" w:type="dxa"/>
          </w:tblCellMar>
        </w:tblPrEx>
        <w:trPr>
          <w:trHeight w:val="27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1C7A6B7C">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1F7A22E1">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2B98D95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47</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7DDD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超净工作台</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716744A5">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15438">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8BFF0">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00781AA1">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AA24E0F">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9586F">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12000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18E28E81">
            <w:pPr>
              <w:rPr>
                <w:rFonts w:hint="eastAsia" w:ascii="宋体" w:hAnsi="宋体" w:eastAsia="宋体" w:cs="宋体"/>
                <w:color w:val="000000"/>
                <w:szCs w:val="21"/>
              </w:rPr>
            </w:pPr>
          </w:p>
        </w:tc>
      </w:tr>
      <w:tr w14:paraId="2F724854">
        <w:tblPrEx>
          <w:tblCellMar>
            <w:top w:w="0" w:type="dxa"/>
            <w:left w:w="108" w:type="dxa"/>
            <w:bottom w:w="0" w:type="dxa"/>
            <w:right w:w="108" w:type="dxa"/>
          </w:tblCellMar>
        </w:tblPrEx>
        <w:trPr>
          <w:trHeight w:val="27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766A985A">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7263A4A3">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73AFE970">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48</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B610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细胞培养箱</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69E52BD1">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EE39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D081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642B5E92">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ED8048B">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32BD9">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60000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76261EA3">
            <w:pPr>
              <w:rPr>
                <w:rFonts w:hint="eastAsia" w:ascii="宋体" w:hAnsi="宋体" w:eastAsia="宋体" w:cs="宋体"/>
                <w:color w:val="000000"/>
                <w:szCs w:val="21"/>
              </w:rPr>
            </w:pPr>
          </w:p>
        </w:tc>
      </w:tr>
      <w:tr w14:paraId="0B22D1D9">
        <w:tblPrEx>
          <w:tblCellMar>
            <w:top w:w="0" w:type="dxa"/>
            <w:left w:w="108" w:type="dxa"/>
            <w:bottom w:w="0" w:type="dxa"/>
            <w:right w:w="108" w:type="dxa"/>
          </w:tblCellMar>
        </w:tblPrEx>
        <w:trPr>
          <w:trHeight w:val="27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4E4D94C2">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1150B2F1">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5FED809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49</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A43A5">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倒置显微镜</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48B1EC47">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249BD">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3D1B7">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65E155A2">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09F274F">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3B40D">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21860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3D0F32F6">
            <w:pPr>
              <w:rPr>
                <w:rFonts w:hint="eastAsia" w:ascii="宋体" w:hAnsi="宋体" w:eastAsia="宋体" w:cs="宋体"/>
                <w:color w:val="000000"/>
                <w:szCs w:val="21"/>
              </w:rPr>
            </w:pPr>
          </w:p>
        </w:tc>
      </w:tr>
      <w:tr w14:paraId="54C1148B">
        <w:tblPrEx>
          <w:tblCellMar>
            <w:top w:w="0" w:type="dxa"/>
            <w:left w:w="108" w:type="dxa"/>
            <w:bottom w:w="0" w:type="dxa"/>
            <w:right w:w="108" w:type="dxa"/>
          </w:tblCellMar>
        </w:tblPrEx>
        <w:trPr>
          <w:trHeight w:val="27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51D93A70">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15A3B4E7">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445FD01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50</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E0753">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冰箱</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572BCB40">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136C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3</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E8885">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11081A34">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EE20618">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0C952">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2990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5F081957">
            <w:pPr>
              <w:rPr>
                <w:rFonts w:hint="eastAsia" w:ascii="宋体" w:hAnsi="宋体" w:eastAsia="宋体" w:cs="宋体"/>
                <w:color w:val="000000"/>
                <w:szCs w:val="21"/>
              </w:rPr>
            </w:pPr>
          </w:p>
        </w:tc>
      </w:tr>
      <w:tr w14:paraId="5DB5337F">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0E3DEE98">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78F6E561">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32CAA1D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51</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07D38">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冷冻干燥箱</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67C09054">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DCF30">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25B20">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715EA9AC">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57A01D86">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98934">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21500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01315C79">
            <w:pPr>
              <w:rPr>
                <w:rFonts w:hint="eastAsia" w:ascii="宋体" w:hAnsi="宋体" w:eastAsia="宋体" w:cs="宋体"/>
                <w:color w:val="000000"/>
                <w:szCs w:val="21"/>
              </w:rPr>
            </w:pPr>
          </w:p>
        </w:tc>
      </w:tr>
      <w:tr w14:paraId="197750C5">
        <w:tblPrEx>
          <w:tblCellMar>
            <w:top w:w="0" w:type="dxa"/>
            <w:left w:w="108" w:type="dxa"/>
            <w:bottom w:w="0" w:type="dxa"/>
            <w:right w:w="108" w:type="dxa"/>
          </w:tblCellMar>
        </w:tblPrEx>
        <w:trPr>
          <w:trHeight w:val="72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0B85690E">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181BFBD4">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0498C145">
            <w:pPr>
              <w:rPr>
                <w:rFonts w:hint="eastAsia" w:ascii="宋体" w:hAnsi="宋体" w:eastAsia="宋体" w:cs="宋体"/>
                <w:color w:val="000000"/>
                <w:sz w:val="20"/>
                <w:szCs w:val="20"/>
              </w:rPr>
            </w:pPr>
            <w:r>
              <w:rPr>
                <w:rFonts w:hint="eastAsia" w:ascii="宋体" w:hAnsi="宋体" w:eastAsia="宋体" w:cs="宋体"/>
                <w:color w:val="000000"/>
                <w:sz w:val="20"/>
                <w:szCs w:val="20"/>
              </w:rPr>
              <w:t>52</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B31F4">
            <w:pPr>
              <w:rPr>
                <w:rFonts w:hint="eastAsia" w:ascii="宋体" w:hAnsi="宋体" w:eastAsia="宋体" w:cs="宋体"/>
                <w:color w:val="000000"/>
                <w:sz w:val="20"/>
                <w:szCs w:val="20"/>
              </w:rPr>
            </w:pPr>
            <w:r>
              <w:rPr>
                <w:rFonts w:hint="eastAsia" w:ascii="宋体" w:hAnsi="宋体" w:eastAsia="宋体" w:cs="宋体"/>
                <w:color w:val="000000"/>
                <w:sz w:val="20"/>
                <w:szCs w:val="20"/>
              </w:rPr>
              <w:t>荧光倒置显微镜</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40F85F31">
            <w:pPr>
              <w:rPr>
                <w:rFonts w:hint="eastAsia" w:ascii="宋体" w:hAnsi="宋体" w:eastAsia="宋体" w:cs="宋体"/>
                <w:color w:val="000000"/>
                <w:sz w:val="20"/>
                <w:szCs w:val="20"/>
              </w:rPr>
            </w:pPr>
            <w:r>
              <w:rPr>
                <w:rFonts w:hint="eastAsia" w:ascii="宋体" w:hAnsi="宋体" w:eastAsia="宋体" w:cs="宋体"/>
                <w:color w:val="000000"/>
                <w:sz w:val="20"/>
                <w:szCs w:val="20"/>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8B6E4">
            <w:pPr>
              <w:rPr>
                <w:rFonts w:hint="eastAsia" w:ascii="宋体" w:hAnsi="宋体" w:eastAsia="宋体" w:cs="宋体"/>
                <w:color w:val="000000"/>
                <w:sz w:val="20"/>
                <w:szCs w:val="20"/>
              </w:rPr>
            </w:pPr>
            <w:r>
              <w:rPr>
                <w:rFonts w:hint="eastAsia" w:ascii="宋体" w:hAnsi="宋体" w:eastAsia="宋体" w:cs="宋体"/>
                <w:color w:val="000000"/>
                <w:sz w:val="20"/>
                <w:szCs w:val="20"/>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D055F">
            <w:pPr>
              <w:rPr>
                <w:rFonts w:hint="eastAsia" w:ascii="宋体" w:hAnsi="宋体" w:eastAsia="宋体" w:cs="宋体"/>
                <w:color w:val="000000"/>
                <w:sz w:val="20"/>
                <w:szCs w:val="20"/>
              </w:rPr>
            </w:pPr>
            <w:r>
              <w:rPr>
                <w:rFonts w:hint="eastAsia" w:ascii="宋体" w:hAnsi="宋体" w:eastAsia="宋体" w:cs="宋体"/>
                <w:color w:val="000000"/>
                <w:sz w:val="20"/>
                <w:szCs w:val="20"/>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4703DE5C">
            <w:pPr>
              <w:jc w:val="center"/>
              <w:rPr>
                <w:rFonts w:hint="eastAsia" w:ascii="宋体" w:hAnsi="宋体" w:eastAsia="宋体" w:cs="宋体"/>
                <w:color w:val="000000"/>
                <w:sz w:val="20"/>
                <w:szCs w:val="20"/>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A7648E2">
            <w:pPr>
              <w:jc w:val="center"/>
              <w:rPr>
                <w:rFonts w:hint="eastAsia" w:ascii="宋体" w:hAnsi="宋体" w:eastAsia="宋体" w:cs="宋体"/>
                <w:color w:val="000000"/>
                <w:sz w:val="20"/>
                <w:szCs w:val="20"/>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701A9">
            <w:pPr>
              <w:jc w:val="center"/>
              <w:rPr>
                <w:rFonts w:hint="eastAsia" w:ascii="宋体" w:hAnsi="宋体" w:eastAsia="宋体" w:cs="宋体"/>
                <w:color w:val="000000"/>
                <w:sz w:val="20"/>
                <w:szCs w:val="20"/>
              </w:rPr>
            </w:pPr>
            <w:r>
              <w:rPr>
                <w:rFonts w:hint="eastAsia" w:ascii="宋体" w:hAnsi="宋体" w:eastAsia="宋体" w:cs="宋体"/>
                <w:color w:val="000000"/>
                <w:sz w:val="20"/>
                <w:szCs w:val="20"/>
              </w:rPr>
              <w:t>254200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2167781A">
            <w:pPr>
              <w:rPr>
                <w:rFonts w:hint="eastAsia" w:ascii="宋体" w:hAnsi="宋体" w:eastAsia="宋体" w:cs="宋体"/>
                <w:color w:val="000000"/>
                <w:szCs w:val="21"/>
              </w:rPr>
            </w:pPr>
          </w:p>
        </w:tc>
      </w:tr>
      <w:tr w14:paraId="741B8041">
        <w:tblPrEx>
          <w:tblCellMar>
            <w:top w:w="0" w:type="dxa"/>
            <w:left w:w="108" w:type="dxa"/>
            <w:bottom w:w="0" w:type="dxa"/>
            <w:right w:w="108" w:type="dxa"/>
          </w:tblCellMar>
        </w:tblPrEx>
        <w:trPr>
          <w:trHeight w:val="72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11624872">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0281FDB5">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4FEEB66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53</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7BF33">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纳米粒度电位仪及工作站</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56CEB9BA">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8093C">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71584">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0011572D">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44A143E">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75F86">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250000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6518665A">
            <w:pPr>
              <w:rPr>
                <w:rFonts w:hint="eastAsia" w:ascii="宋体" w:hAnsi="宋体" w:eastAsia="宋体" w:cs="宋体"/>
                <w:color w:val="000000"/>
                <w:szCs w:val="21"/>
              </w:rPr>
            </w:pPr>
          </w:p>
        </w:tc>
      </w:tr>
      <w:tr w14:paraId="7FDA819A">
        <w:tblPrEx>
          <w:tblCellMar>
            <w:top w:w="0" w:type="dxa"/>
            <w:left w:w="108" w:type="dxa"/>
            <w:bottom w:w="0" w:type="dxa"/>
            <w:right w:w="108" w:type="dxa"/>
          </w:tblCellMar>
        </w:tblPrEx>
        <w:trPr>
          <w:trHeight w:val="27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5E143D97">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498BACFC">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0E78254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54</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BC813">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细胞计数仪</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3A775738">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9E2C7">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DA13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50FDB7C8">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0804B79">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C364D">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38900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4F1BFD8A">
            <w:pPr>
              <w:rPr>
                <w:rFonts w:hint="eastAsia" w:ascii="宋体" w:hAnsi="宋体" w:eastAsia="宋体" w:cs="宋体"/>
                <w:color w:val="000000"/>
                <w:szCs w:val="21"/>
              </w:rPr>
            </w:pPr>
          </w:p>
        </w:tc>
      </w:tr>
      <w:tr w14:paraId="7BC90A34">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7CAAF56A">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4595E91B">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231C858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55</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C5CC6">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旋转蒸发仪</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5EBFD6A5">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A530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3</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1152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7C44730B">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8FE736A">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EA49E">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4000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551E0595">
            <w:pPr>
              <w:rPr>
                <w:rFonts w:hint="eastAsia" w:ascii="宋体" w:hAnsi="宋体" w:eastAsia="宋体" w:cs="宋体"/>
                <w:color w:val="000000"/>
                <w:szCs w:val="21"/>
              </w:rPr>
            </w:pPr>
          </w:p>
        </w:tc>
      </w:tr>
      <w:tr w14:paraId="14653324">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6A996E5D">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1B2BE132">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7D6AF4DB">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56</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07085">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平板磁力搅拌器</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422954A4">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0E58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3</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15C1C">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54875445">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6B8BA73">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5B062">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950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3BDC7AF1">
            <w:pPr>
              <w:rPr>
                <w:rFonts w:hint="eastAsia" w:ascii="宋体" w:hAnsi="宋体" w:eastAsia="宋体" w:cs="宋体"/>
                <w:color w:val="000000"/>
                <w:szCs w:val="21"/>
              </w:rPr>
            </w:pPr>
          </w:p>
        </w:tc>
      </w:tr>
      <w:tr w14:paraId="5EB7D83A">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0967996A">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667526DC">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3760BE55">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57</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298C0">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集热式磁力搅拌器</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685AB75E">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9852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5707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13A7B270">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375312E">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C77EB">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950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47C153C7">
            <w:pPr>
              <w:rPr>
                <w:rFonts w:hint="eastAsia" w:ascii="宋体" w:hAnsi="宋体" w:eastAsia="宋体" w:cs="宋体"/>
                <w:color w:val="000000"/>
                <w:szCs w:val="21"/>
              </w:rPr>
            </w:pPr>
          </w:p>
        </w:tc>
      </w:tr>
      <w:tr w14:paraId="75EA8A75">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4DEF083B">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661B8D22">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4A02390D">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58</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3908C">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循环水式多用真空泵</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6ADD291E">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F511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5EC0A">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174D26EF">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5DB5680">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21E67">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1950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62A52E35">
            <w:pPr>
              <w:rPr>
                <w:rFonts w:hint="eastAsia" w:ascii="宋体" w:hAnsi="宋体" w:eastAsia="宋体" w:cs="宋体"/>
                <w:color w:val="000000"/>
                <w:szCs w:val="21"/>
              </w:rPr>
            </w:pPr>
          </w:p>
        </w:tc>
      </w:tr>
      <w:tr w14:paraId="5F6F0DF3">
        <w:tblPrEx>
          <w:tblCellMar>
            <w:top w:w="0" w:type="dxa"/>
            <w:left w:w="108" w:type="dxa"/>
            <w:bottom w:w="0" w:type="dxa"/>
            <w:right w:w="108" w:type="dxa"/>
          </w:tblCellMar>
        </w:tblPrEx>
        <w:trPr>
          <w:trHeight w:val="72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41CE973A">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2D8C5520">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7BAA8A48">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59</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7EE4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低温恒温搅拌反应浴</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71CE13CE">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AAE24">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74890">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2087799B">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850F91E">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1A427">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4850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13B3451C">
            <w:pPr>
              <w:rPr>
                <w:rFonts w:hint="eastAsia" w:ascii="宋体" w:hAnsi="宋体" w:eastAsia="宋体" w:cs="宋体"/>
                <w:color w:val="000000"/>
                <w:szCs w:val="21"/>
              </w:rPr>
            </w:pPr>
          </w:p>
        </w:tc>
      </w:tr>
      <w:tr w14:paraId="112DFDD2">
        <w:tblPrEx>
          <w:tblCellMar>
            <w:top w:w="0" w:type="dxa"/>
            <w:left w:w="108" w:type="dxa"/>
            <w:bottom w:w="0" w:type="dxa"/>
            <w:right w:w="108" w:type="dxa"/>
          </w:tblCellMar>
        </w:tblPrEx>
        <w:trPr>
          <w:trHeight w:val="72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427707C2">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6B716734">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78912BE6">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60</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E1A0D">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多位平行光化学反应系统</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734A5C88">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CB855">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85025">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7DB78F47">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600901B">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51248">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44800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7DBB3004">
            <w:pPr>
              <w:rPr>
                <w:rFonts w:hint="eastAsia" w:ascii="宋体" w:hAnsi="宋体" w:eastAsia="宋体" w:cs="宋体"/>
                <w:color w:val="000000"/>
                <w:szCs w:val="21"/>
              </w:rPr>
            </w:pPr>
          </w:p>
        </w:tc>
      </w:tr>
      <w:tr w14:paraId="7782F382">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2C6F1837">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3D00AEED">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5E4395BC">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61</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42CC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高精度电子分析天平</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23C5D1B0">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A2427">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9D67D">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09467006">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E445E42">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10023">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15000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05CF29CB">
            <w:pPr>
              <w:rPr>
                <w:rFonts w:hint="eastAsia" w:ascii="宋体" w:hAnsi="宋体" w:eastAsia="宋体" w:cs="宋体"/>
                <w:color w:val="000000"/>
                <w:szCs w:val="21"/>
              </w:rPr>
            </w:pPr>
          </w:p>
        </w:tc>
      </w:tr>
      <w:tr w14:paraId="5F5F1A6A">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75C4CD37">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1A01B516">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4E8CDB7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62</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B5EB6">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电热鼓风干燥箱</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70FD2BBB">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386F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C958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0C605A6C">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7798B91">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C2B91">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5000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4B50371C">
            <w:pPr>
              <w:rPr>
                <w:rFonts w:hint="eastAsia" w:ascii="宋体" w:hAnsi="宋体" w:eastAsia="宋体" w:cs="宋体"/>
                <w:color w:val="000000"/>
                <w:szCs w:val="21"/>
              </w:rPr>
            </w:pPr>
          </w:p>
        </w:tc>
      </w:tr>
      <w:tr w14:paraId="777402C6">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5E854E44">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3B1866E9">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3230DB2D">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63</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521B8">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pH计</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37FB578D">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A8F8B">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1A0BC">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09C032F4">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D6F686C">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5D067">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4000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4818B8BD">
            <w:pPr>
              <w:rPr>
                <w:rFonts w:hint="eastAsia" w:ascii="宋体" w:hAnsi="宋体" w:eastAsia="宋体" w:cs="宋体"/>
                <w:color w:val="000000"/>
                <w:szCs w:val="21"/>
              </w:rPr>
            </w:pPr>
          </w:p>
        </w:tc>
      </w:tr>
      <w:tr w14:paraId="29E0CDD2">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389B5726">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3A6B11F7">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389CFD4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64</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E8B99">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高温高压灭菌锅</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382E6CDC">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30C8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2</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5C595">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4D09B3BA">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840D52B">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E89FE">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14890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0C40B808">
            <w:pPr>
              <w:rPr>
                <w:rFonts w:hint="eastAsia" w:ascii="宋体" w:hAnsi="宋体" w:eastAsia="宋体" w:cs="宋体"/>
                <w:color w:val="000000"/>
                <w:szCs w:val="21"/>
              </w:rPr>
            </w:pPr>
          </w:p>
        </w:tc>
      </w:tr>
      <w:tr w14:paraId="09C9DA33">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3044ACA2">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559F974B">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667C0D48">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65</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678B8">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超声波清洗机</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39220475">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1DFA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3</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D2F9A">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0DD81A6A">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67A048A">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CE62C">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2980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43E6D6C3">
            <w:pPr>
              <w:rPr>
                <w:rFonts w:hint="eastAsia" w:ascii="宋体" w:hAnsi="宋体" w:eastAsia="宋体" w:cs="宋体"/>
                <w:color w:val="000000"/>
                <w:szCs w:val="21"/>
              </w:rPr>
            </w:pPr>
          </w:p>
        </w:tc>
      </w:tr>
      <w:tr w14:paraId="482872A0">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1FC49B77">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548CDBE7">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3ADD052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66</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CB4DD">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基因扩增仪</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0453657F">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95922">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D3654">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166A3193">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2FC8E07">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149CF">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39800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36D94492">
            <w:pPr>
              <w:rPr>
                <w:rFonts w:hint="eastAsia" w:ascii="宋体" w:hAnsi="宋体" w:eastAsia="宋体" w:cs="宋体"/>
                <w:color w:val="000000"/>
                <w:szCs w:val="21"/>
              </w:rPr>
            </w:pPr>
          </w:p>
        </w:tc>
      </w:tr>
      <w:tr w14:paraId="09BD5804">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52C238F1">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000F6712">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69F1D82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67</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D6BD6">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荧光定量PCR仪</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7E1EF643">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A5C8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D82E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2F34F260">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D4327C4">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94A58">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126500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6085D806">
            <w:pPr>
              <w:rPr>
                <w:rFonts w:hint="eastAsia" w:ascii="宋体" w:hAnsi="宋体" w:eastAsia="宋体" w:cs="宋体"/>
                <w:color w:val="000000"/>
                <w:szCs w:val="21"/>
              </w:rPr>
            </w:pPr>
          </w:p>
        </w:tc>
      </w:tr>
      <w:tr w14:paraId="0E4F5785">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3FE65244">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01EED91E">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430C0247">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68</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04858">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超声破碎仪</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71A42DAF">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98AFC">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5BB7D">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6186915C">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283664B">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805FE">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15890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170AA457">
            <w:pPr>
              <w:rPr>
                <w:rFonts w:hint="eastAsia" w:ascii="宋体" w:hAnsi="宋体" w:eastAsia="宋体" w:cs="宋体"/>
                <w:color w:val="000000"/>
                <w:szCs w:val="21"/>
              </w:rPr>
            </w:pPr>
          </w:p>
        </w:tc>
      </w:tr>
      <w:tr w14:paraId="1B8EA659">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14DD3D35">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0681D8B6">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3E636DA9">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69</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2BCAF">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化学发光凝胶成像系统</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57BD3DEB">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D50F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8D3F9">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5988DE08">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2BACC4B">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C4EF6">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39800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3BADF4A1">
            <w:pPr>
              <w:rPr>
                <w:rFonts w:hint="eastAsia" w:ascii="宋体" w:hAnsi="宋体" w:eastAsia="宋体" w:cs="宋体"/>
                <w:color w:val="000000"/>
                <w:szCs w:val="21"/>
              </w:rPr>
            </w:pPr>
          </w:p>
        </w:tc>
      </w:tr>
      <w:tr w14:paraId="3B1F6436">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4A90775A">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233F9B6D">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5A3A755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70</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59003">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制冰机</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4362760B">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74B41">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ECC7D">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0227A304">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5A58E7E">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860E6">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4980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088A4255">
            <w:pPr>
              <w:rPr>
                <w:rFonts w:hint="eastAsia" w:ascii="宋体" w:hAnsi="宋体" w:eastAsia="宋体" w:cs="宋体"/>
                <w:color w:val="000000"/>
                <w:szCs w:val="21"/>
              </w:rPr>
            </w:pPr>
          </w:p>
        </w:tc>
      </w:tr>
      <w:tr w14:paraId="743903CF">
        <w:tblPrEx>
          <w:tblCellMar>
            <w:top w:w="0" w:type="dxa"/>
            <w:left w:w="108" w:type="dxa"/>
            <w:bottom w:w="0" w:type="dxa"/>
            <w:right w:w="108" w:type="dxa"/>
          </w:tblCellMar>
        </w:tblPrEx>
        <w:trPr>
          <w:trHeight w:val="480" w:hRule="atLeast"/>
        </w:trPr>
        <w:tc>
          <w:tcPr>
            <w:tcW w:w="463" w:type="dxa"/>
            <w:vMerge w:val="continue"/>
            <w:tcBorders>
              <w:top w:val="single" w:color="000000" w:sz="4" w:space="0"/>
              <w:left w:val="single" w:color="000000" w:sz="4" w:space="0"/>
              <w:bottom w:val="single" w:color="000000" w:sz="4" w:space="0"/>
              <w:right w:val="single" w:color="000000" w:sz="4" w:space="0"/>
            </w:tcBorders>
            <w:noWrap/>
            <w:vAlign w:val="center"/>
          </w:tcPr>
          <w:p w14:paraId="3E544156">
            <w:pPr>
              <w:jc w:val="center"/>
              <w:rPr>
                <w:rFonts w:hint="eastAsia" w:ascii="宋体" w:hAnsi="宋体" w:eastAsia="宋体" w:cs="宋体"/>
                <w:color w:val="000000"/>
                <w:szCs w:val="21"/>
              </w:rPr>
            </w:pPr>
          </w:p>
        </w:tc>
        <w:tc>
          <w:tcPr>
            <w:tcW w:w="732" w:type="dxa"/>
            <w:vMerge w:val="continue"/>
            <w:tcBorders>
              <w:top w:val="single" w:color="000000" w:sz="4" w:space="0"/>
              <w:left w:val="single" w:color="000000" w:sz="4" w:space="0"/>
              <w:bottom w:val="single" w:color="000000" w:sz="4" w:space="0"/>
              <w:right w:val="single" w:color="000000" w:sz="4" w:space="0"/>
            </w:tcBorders>
            <w:noWrap/>
            <w:vAlign w:val="center"/>
          </w:tcPr>
          <w:p w14:paraId="415B524A">
            <w:pPr>
              <w:rPr>
                <w:rFonts w:hint="eastAsia" w:ascii="宋体" w:hAnsi="宋体" w:eastAsia="宋体" w:cs="宋体"/>
                <w:color w:val="000000"/>
                <w:szCs w:val="21"/>
              </w:rPr>
            </w:pPr>
          </w:p>
        </w:tc>
        <w:tc>
          <w:tcPr>
            <w:tcW w:w="634" w:type="dxa"/>
            <w:tcBorders>
              <w:top w:val="single" w:color="000000" w:sz="4" w:space="0"/>
              <w:left w:val="single" w:color="000000" w:sz="4" w:space="0"/>
              <w:bottom w:val="single" w:color="000000" w:sz="4" w:space="0"/>
              <w:right w:val="single" w:color="000000" w:sz="4" w:space="0"/>
            </w:tcBorders>
            <w:noWrap/>
            <w:vAlign w:val="center"/>
          </w:tcPr>
          <w:p w14:paraId="6770B6C0">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71</w:t>
            </w:r>
          </w:p>
        </w:tc>
        <w:tc>
          <w:tcPr>
            <w:tcW w:w="11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FC3BB">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电泳跑胶系统</w:t>
            </w:r>
          </w:p>
        </w:tc>
        <w:tc>
          <w:tcPr>
            <w:tcW w:w="1195" w:type="dxa"/>
            <w:tcBorders>
              <w:top w:val="single" w:color="000000" w:sz="4" w:space="0"/>
              <w:left w:val="single" w:color="000000" w:sz="4" w:space="0"/>
              <w:bottom w:val="single" w:color="000000" w:sz="4" w:space="0"/>
              <w:right w:val="single" w:color="000000" w:sz="4" w:space="0"/>
            </w:tcBorders>
            <w:noWrap/>
            <w:vAlign w:val="center"/>
          </w:tcPr>
          <w:p w14:paraId="5FA4D0EC">
            <w:pPr>
              <w:widowControl/>
              <w:jc w:val="left"/>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详见技术要求</w:t>
            </w:r>
          </w:p>
        </w:tc>
        <w:tc>
          <w:tcPr>
            <w:tcW w:w="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FCE77">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1</w:t>
            </w:r>
          </w:p>
        </w:tc>
        <w:tc>
          <w:tcPr>
            <w:tcW w:w="6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0982E">
            <w:pPr>
              <w:widowControl/>
              <w:jc w:val="center"/>
              <w:textAlignment w:val="center"/>
              <w:rPr>
                <w:rFonts w:hint="eastAsia" w:ascii="宋体" w:hAnsi="宋体" w:eastAsia="宋体" w:cs="宋体"/>
                <w:color w:val="000000"/>
                <w:szCs w:val="21"/>
              </w:rPr>
            </w:pPr>
            <w:r>
              <w:rPr>
                <w:rFonts w:hint="eastAsia" w:ascii="宋体" w:hAnsi="宋体" w:eastAsia="宋体" w:cs="宋体"/>
                <w:color w:val="000000"/>
                <w:kern w:val="0"/>
                <w:szCs w:val="21"/>
                <w:lang w:bidi="ar"/>
              </w:rPr>
              <w:t>套</w:t>
            </w:r>
          </w:p>
        </w:tc>
        <w:tc>
          <w:tcPr>
            <w:tcW w:w="719" w:type="dxa"/>
            <w:tcBorders>
              <w:top w:val="single" w:color="000000" w:sz="4" w:space="0"/>
              <w:left w:val="single" w:color="000000" w:sz="4" w:space="0"/>
              <w:bottom w:val="single" w:color="000000" w:sz="4" w:space="0"/>
              <w:right w:val="single" w:color="000000" w:sz="4" w:space="0"/>
            </w:tcBorders>
            <w:noWrap/>
            <w:vAlign w:val="center"/>
          </w:tcPr>
          <w:p w14:paraId="4F6AD43B">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505CCC20">
            <w:pPr>
              <w:jc w:val="center"/>
              <w:rPr>
                <w:rFonts w:hint="eastAsia" w:ascii="宋体" w:hAnsi="宋体" w:eastAsia="宋体" w:cs="宋体"/>
                <w:color w:val="000000"/>
                <w:szCs w:val="21"/>
              </w:rPr>
            </w:pPr>
            <w:r>
              <w:rPr>
                <w:rFonts w:hint="eastAsia" w:ascii="宋体" w:hAnsi="宋体" w:eastAsia="宋体" w:cs="宋体"/>
                <w:kern w:val="0"/>
                <w:sz w:val="15"/>
                <w:szCs w:val="15"/>
              </w:rPr>
              <w:sym w:font="Wingdings" w:char="00A8"/>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FC8A9">
            <w:pPr>
              <w:widowControl/>
              <w:jc w:val="center"/>
              <w:textAlignment w:val="bottom"/>
              <w:rPr>
                <w:rFonts w:hint="eastAsia" w:ascii="宋体" w:hAnsi="宋体" w:eastAsia="宋体" w:cs="宋体"/>
                <w:color w:val="000000"/>
                <w:szCs w:val="21"/>
              </w:rPr>
            </w:pPr>
            <w:r>
              <w:rPr>
                <w:rFonts w:hint="eastAsia" w:ascii="宋体" w:hAnsi="宋体" w:eastAsia="宋体" w:cs="宋体"/>
                <w:color w:val="000000"/>
                <w:kern w:val="0"/>
                <w:szCs w:val="21"/>
                <w:lang w:bidi="ar"/>
              </w:rPr>
              <w:t>19750</w:t>
            </w:r>
          </w:p>
        </w:tc>
        <w:tc>
          <w:tcPr>
            <w:tcW w:w="820" w:type="dxa"/>
            <w:tcBorders>
              <w:top w:val="single" w:color="000000" w:sz="4" w:space="0"/>
              <w:left w:val="single" w:color="000000" w:sz="4" w:space="0"/>
              <w:bottom w:val="single" w:color="000000" w:sz="4" w:space="0"/>
              <w:right w:val="single" w:color="000000" w:sz="4" w:space="0"/>
            </w:tcBorders>
            <w:noWrap/>
            <w:vAlign w:val="center"/>
          </w:tcPr>
          <w:p w14:paraId="5F91B77C">
            <w:pPr>
              <w:rPr>
                <w:rFonts w:hint="eastAsia" w:ascii="宋体" w:hAnsi="宋体" w:eastAsia="宋体" w:cs="宋体"/>
                <w:color w:val="000000"/>
                <w:szCs w:val="21"/>
              </w:rPr>
            </w:pPr>
          </w:p>
        </w:tc>
      </w:tr>
    </w:tbl>
    <w:p w14:paraId="4A540E64">
      <w:pPr>
        <w:adjustRightInd w:val="0"/>
        <w:snapToGrid w:val="0"/>
        <w:spacing w:before="161" w:beforeLines="50" w:line="360" w:lineRule="auto"/>
        <w:rPr>
          <w:rFonts w:hint="eastAsia" w:ascii="宋体" w:hAnsi="宋体" w:eastAsia="宋体" w:cs="Times New Roman"/>
          <w:szCs w:val="21"/>
        </w:rPr>
      </w:pPr>
      <w:r>
        <w:rPr>
          <w:rFonts w:hint="eastAsia" w:ascii="宋体" w:hAnsi="宋体" w:eastAsia="宋体" w:cs="Times New Roman"/>
          <w:szCs w:val="21"/>
        </w:rPr>
        <w:t>注：1.“包”为最小合同单位（最小投标单位）。每“包”内容应细化到具体标的。</w:t>
      </w:r>
    </w:p>
    <w:p w14:paraId="15B8E547">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2.投标人必须对一个完整、独立的包进行投标，不得仅对一个包中的部分标的投标，否则</w:t>
      </w:r>
      <w:r>
        <w:rPr>
          <w:rFonts w:hint="eastAsia" w:ascii="宋体" w:hAnsi="宋体" w:eastAsia="宋体" w:cs="Times New Roman"/>
          <w:b/>
          <w:szCs w:val="21"/>
        </w:rPr>
        <w:t>投标无效。</w:t>
      </w:r>
    </w:p>
    <w:p w14:paraId="71408B30">
      <w:pPr>
        <w:adjustRightInd w:val="0"/>
        <w:snapToGrid w:val="0"/>
        <w:spacing w:before="161" w:beforeLines="50" w:line="360" w:lineRule="auto"/>
        <w:ind w:firstLine="420" w:firstLineChars="200"/>
        <w:rPr>
          <w:rFonts w:hint="eastAsia" w:ascii="宋体" w:hAnsi="宋体" w:eastAsia="宋体" w:cs="宋体"/>
          <w:kern w:val="0"/>
          <w:szCs w:val="21"/>
        </w:rPr>
      </w:pPr>
      <w:r>
        <w:rPr>
          <w:rFonts w:hint="eastAsia" w:ascii="宋体" w:hAnsi="宋体" w:eastAsia="宋体" w:cs="Times New Roman"/>
          <w:szCs w:val="21"/>
        </w:rPr>
        <w:t>3.货物的主要技术参数或规格：</w:t>
      </w:r>
      <w:r>
        <w:rPr>
          <w:rFonts w:ascii="宋体" w:hAnsi="宋体" w:eastAsia="宋体" w:cs="宋体"/>
          <w:kern w:val="0"/>
          <w:szCs w:val="21"/>
        </w:rPr>
        <w:t>详见“技术要求”中的具体技术参数</w:t>
      </w:r>
      <w:r>
        <w:rPr>
          <w:rFonts w:hint="eastAsia" w:ascii="宋体" w:hAnsi="宋体" w:eastAsia="宋体" w:cs="宋体"/>
          <w:kern w:val="0"/>
          <w:szCs w:val="21"/>
        </w:rPr>
        <w:t>。</w:t>
      </w:r>
    </w:p>
    <w:p w14:paraId="5428ABB2">
      <w:pPr>
        <w:adjustRightInd w:val="0"/>
        <w:snapToGrid w:val="0"/>
        <w:spacing w:before="161" w:beforeLines="50" w:line="360" w:lineRule="auto"/>
        <w:ind w:firstLine="420" w:firstLineChars="200"/>
        <w:rPr>
          <w:rFonts w:hint="eastAsia" w:ascii="宋体" w:hAnsi="宋体" w:eastAsia="宋体" w:cs="宋体"/>
          <w:kern w:val="0"/>
          <w:szCs w:val="21"/>
        </w:rPr>
      </w:pPr>
      <w:r>
        <w:rPr>
          <w:rFonts w:hint="eastAsia" w:ascii="宋体" w:hAnsi="宋体" w:eastAsia="宋体" w:cs="宋体"/>
          <w:bCs/>
          <w:kern w:val="0"/>
          <w:szCs w:val="21"/>
        </w:rPr>
        <w:t>4.投标人应</w:t>
      </w:r>
      <w:r>
        <w:rPr>
          <w:rFonts w:hint="eastAsia" w:ascii="宋体" w:hAnsi="宋体" w:eastAsia="宋体" w:cs="宋体"/>
          <w:kern w:val="0"/>
          <w:szCs w:val="21"/>
        </w:rPr>
        <w:t>在投标文件《分项报价明细表》中按</w:t>
      </w:r>
      <w:r>
        <w:rPr>
          <w:rFonts w:hint="eastAsia" w:ascii="宋体" w:hAnsi="宋体" w:eastAsia="宋体" w:cs="Times New Roman"/>
          <w:szCs w:val="21"/>
        </w:rPr>
        <w:t>标的名称</w:t>
      </w:r>
      <w:r>
        <w:rPr>
          <w:rFonts w:hint="eastAsia" w:ascii="宋体" w:hAnsi="宋体" w:eastAsia="宋体" w:cs="宋体"/>
          <w:kern w:val="0"/>
          <w:szCs w:val="21"/>
        </w:rPr>
        <w:t>顺序逐项填写，且每个标的中的条目均需按招标文件规定报价。如有缺项、漏项，其</w:t>
      </w:r>
      <w:r>
        <w:rPr>
          <w:rFonts w:hint="eastAsia" w:ascii="宋体" w:hAnsi="宋体" w:eastAsia="宋体" w:cs="宋体"/>
          <w:b/>
          <w:kern w:val="0"/>
          <w:szCs w:val="21"/>
        </w:rPr>
        <w:t>投标无效</w:t>
      </w:r>
      <w:r>
        <w:rPr>
          <w:rFonts w:hint="eastAsia" w:ascii="宋体" w:hAnsi="宋体" w:eastAsia="宋体" w:cs="宋体"/>
          <w:kern w:val="0"/>
          <w:szCs w:val="21"/>
        </w:rPr>
        <w:t>。</w:t>
      </w:r>
    </w:p>
    <w:p w14:paraId="374F9DDC">
      <w:pPr>
        <w:adjustRightInd w:val="0"/>
        <w:snapToGrid w:val="0"/>
        <w:spacing w:before="161" w:beforeLines="50" w:line="360" w:lineRule="auto"/>
        <w:ind w:firstLine="420" w:firstLineChars="200"/>
        <w:rPr>
          <w:rFonts w:hint="eastAsia" w:ascii="宋体" w:hAnsi="宋体" w:eastAsia="宋体" w:cs="宋体"/>
          <w:bCs/>
          <w:kern w:val="0"/>
          <w:szCs w:val="21"/>
        </w:rPr>
      </w:pPr>
      <w:r>
        <w:rPr>
          <w:rFonts w:hint="eastAsia" w:ascii="宋体" w:hAnsi="宋体" w:eastAsia="宋体" w:cs="宋体"/>
          <w:bCs/>
          <w:kern w:val="0"/>
          <w:szCs w:val="21"/>
        </w:rPr>
        <w:t>5.投标人投标报价不得超过单价最高限价和总价最高限价，否则，将视为</w:t>
      </w:r>
      <w:r>
        <w:rPr>
          <w:rFonts w:hint="eastAsia" w:ascii="宋体" w:hAnsi="宋体" w:eastAsia="宋体" w:cs="宋体"/>
          <w:b/>
          <w:kern w:val="0"/>
          <w:szCs w:val="21"/>
        </w:rPr>
        <w:t>投标无效。</w:t>
      </w:r>
    </w:p>
    <w:p w14:paraId="0467E4BB">
      <w:pPr>
        <w:widowControl/>
        <w:jc w:val="left"/>
        <w:rPr>
          <w:rFonts w:hint="eastAsia" w:ascii="宋体" w:hAnsi="宋体" w:eastAsia="宋体" w:cs="宋体"/>
          <w:b/>
        </w:rPr>
      </w:pPr>
      <w:r>
        <w:rPr>
          <w:rFonts w:ascii="宋体" w:hAnsi="宋体" w:eastAsia="宋体" w:cs="宋体"/>
          <w:b/>
        </w:rPr>
        <w:br w:type="page"/>
      </w:r>
    </w:p>
    <w:p w14:paraId="20BE8B50">
      <w:pPr>
        <w:keepNext/>
        <w:keepLines/>
        <w:adjustRightInd w:val="0"/>
        <w:snapToGrid w:val="0"/>
        <w:spacing w:before="161" w:beforeLines="50" w:line="360" w:lineRule="auto"/>
        <w:jc w:val="center"/>
        <w:outlineLvl w:val="1"/>
        <w:rPr>
          <w:rFonts w:hint="eastAsia" w:ascii="黑体" w:hAnsi="黑体" w:eastAsia="黑体" w:cs="Times New Roman"/>
          <w:b/>
          <w:bCs/>
          <w:sz w:val="28"/>
          <w:szCs w:val="28"/>
        </w:rPr>
      </w:pPr>
      <w:bookmarkStart w:id="116" w:name="_Toc8803"/>
      <w:r>
        <w:rPr>
          <w:rFonts w:hint="eastAsia" w:ascii="黑体" w:hAnsi="黑体" w:eastAsia="黑体" w:cs="Times New Roman"/>
          <w:b/>
          <w:bCs/>
          <w:sz w:val="28"/>
          <w:szCs w:val="28"/>
        </w:rPr>
        <w:t xml:space="preserve">第二节 </w:t>
      </w:r>
      <w:r>
        <w:rPr>
          <w:rFonts w:ascii="黑体" w:hAnsi="黑体" w:eastAsia="黑体" w:cs="Times New Roman"/>
          <w:b/>
          <w:bCs/>
          <w:sz w:val="28"/>
          <w:szCs w:val="28"/>
        </w:rPr>
        <w:t>技术要求</w:t>
      </w:r>
      <w:bookmarkEnd w:id="116"/>
    </w:p>
    <w:p w14:paraId="48F34A70">
      <w:pPr>
        <w:spacing w:line="360" w:lineRule="auto"/>
        <w:rPr>
          <w:rFonts w:ascii="Times New Roman" w:hAnsi="Times New Roman" w:eastAsia="宋体" w:cs="Times New Roman"/>
          <w:bCs/>
        </w:rPr>
      </w:pPr>
      <w:r>
        <w:rPr>
          <w:rFonts w:hint="eastAsia" w:ascii="宋体" w:hAnsi="宋体" w:eastAsia="宋体" w:cs="宋体"/>
          <w:bCs/>
          <w:szCs w:val="21"/>
        </w:rPr>
        <w:t>一、采购清单</w:t>
      </w:r>
    </w:p>
    <w:tbl>
      <w:tblPr>
        <w:tblStyle w:val="2"/>
        <w:tblW w:w="8459" w:type="dxa"/>
        <w:tblInd w:w="91" w:type="dxa"/>
        <w:tblLayout w:type="fixed"/>
        <w:tblCellMar>
          <w:top w:w="0" w:type="dxa"/>
          <w:left w:w="108" w:type="dxa"/>
          <w:bottom w:w="0" w:type="dxa"/>
          <w:right w:w="108" w:type="dxa"/>
        </w:tblCellMar>
      </w:tblPr>
      <w:tblGrid>
        <w:gridCol w:w="654"/>
        <w:gridCol w:w="1092"/>
        <w:gridCol w:w="5254"/>
        <w:gridCol w:w="679"/>
        <w:gridCol w:w="780"/>
      </w:tblGrid>
      <w:tr w14:paraId="1544AE37">
        <w:tblPrEx>
          <w:tblCellMar>
            <w:top w:w="0" w:type="dxa"/>
            <w:left w:w="108" w:type="dxa"/>
            <w:bottom w:w="0" w:type="dxa"/>
            <w:right w:w="108" w:type="dxa"/>
          </w:tblCellMar>
        </w:tblPrEx>
        <w:trPr>
          <w:trHeight w:val="292"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7B8461">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序号</w:t>
            </w:r>
          </w:p>
        </w:tc>
        <w:tc>
          <w:tcPr>
            <w:tcW w:w="1092" w:type="dxa"/>
            <w:tcBorders>
              <w:top w:val="single" w:color="000000" w:sz="4" w:space="0"/>
              <w:left w:val="single" w:color="000000" w:sz="4" w:space="0"/>
              <w:bottom w:val="single" w:color="000000" w:sz="4" w:space="0"/>
              <w:right w:val="single" w:color="000000" w:sz="4" w:space="0"/>
            </w:tcBorders>
            <w:vAlign w:val="center"/>
          </w:tcPr>
          <w:p w14:paraId="759240F8">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设备名称</w:t>
            </w:r>
          </w:p>
        </w:tc>
        <w:tc>
          <w:tcPr>
            <w:tcW w:w="5254" w:type="dxa"/>
            <w:tcBorders>
              <w:top w:val="single" w:color="000000" w:sz="4" w:space="0"/>
              <w:left w:val="single" w:color="000000" w:sz="4" w:space="0"/>
              <w:bottom w:val="single" w:color="000000" w:sz="4" w:space="0"/>
              <w:right w:val="single" w:color="000000" w:sz="4" w:space="0"/>
            </w:tcBorders>
            <w:vAlign w:val="center"/>
          </w:tcPr>
          <w:p w14:paraId="06D37218">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规格要求</w:t>
            </w:r>
          </w:p>
        </w:tc>
        <w:tc>
          <w:tcPr>
            <w:tcW w:w="679" w:type="dxa"/>
            <w:tcBorders>
              <w:top w:val="single" w:color="000000" w:sz="4" w:space="0"/>
              <w:left w:val="single" w:color="000000" w:sz="4" w:space="0"/>
              <w:bottom w:val="single" w:color="000000" w:sz="4" w:space="0"/>
              <w:right w:val="single" w:color="000000" w:sz="4" w:space="0"/>
            </w:tcBorders>
            <w:vAlign w:val="center"/>
          </w:tcPr>
          <w:p w14:paraId="78CCA9E7">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数量</w:t>
            </w:r>
          </w:p>
        </w:tc>
        <w:tc>
          <w:tcPr>
            <w:tcW w:w="780" w:type="dxa"/>
            <w:tcBorders>
              <w:top w:val="single" w:color="000000" w:sz="4" w:space="0"/>
              <w:left w:val="single" w:color="000000" w:sz="4" w:space="0"/>
              <w:bottom w:val="single" w:color="000000" w:sz="4" w:space="0"/>
              <w:right w:val="single" w:color="000000" w:sz="4" w:space="0"/>
            </w:tcBorders>
            <w:vAlign w:val="center"/>
          </w:tcPr>
          <w:p w14:paraId="5E9F030B">
            <w:pPr>
              <w:widowControl/>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单位</w:t>
            </w:r>
          </w:p>
        </w:tc>
      </w:tr>
      <w:tr w14:paraId="6D705581">
        <w:tblPrEx>
          <w:tblCellMar>
            <w:top w:w="0" w:type="dxa"/>
            <w:left w:w="108" w:type="dxa"/>
            <w:bottom w:w="0" w:type="dxa"/>
            <w:right w:w="108" w:type="dxa"/>
          </w:tblCellMar>
        </w:tblPrEx>
        <w:trPr>
          <w:trHeight w:val="343"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C3911">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606C9">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超高纯手套箱</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35BF1D0B">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1.主机参数</w:t>
            </w:r>
          </w:p>
          <w:p w14:paraId="7FCA088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1.1关键技术指标要求</w:t>
            </w:r>
          </w:p>
          <w:p w14:paraId="04B64BE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1.1.1水含量≤0.1ppm；</w:t>
            </w:r>
          </w:p>
          <w:p w14:paraId="608BD37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1.1.2氧含量≤0.1ppm；</w:t>
            </w:r>
          </w:p>
          <w:p w14:paraId="6F3D16B5">
            <w:pPr>
              <w:widowControl/>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1.1.3泄漏率：≤0.</w:t>
            </w:r>
            <w:r>
              <w:rPr>
                <w:rFonts w:hint="eastAsia" w:ascii="宋体" w:hAnsi="宋体" w:eastAsia="宋体" w:cs="宋体"/>
                <w:kern w:val="0"/>
                <w:sz w:val="20"/>
                <w:szCs w:val="20"/>
                <w:lang w:bidi="ar"/>
              </w:rPr>
              <w:t>001VOL%/H</w:t>
            </w:r>
          </w:p>
          <w:p w14:paraId="159D15B8">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1.2其它技术指标要求</w:t>
            </w:r>
          </w:p>
          <w:p w14:paraId="4656DFFA">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1.2.1箱体</w:t>
            </w:r>
          </w:p>
          <w:p w14:paraId="0DDB5323">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1.2.1.1 不低于304不锈钢的箱体，箱体尺寸≥高1200</w:t>
            </w:r>
            <w:r>
              <w:rPr>
                <w:rFonts w:ascii="Times New Roman" w:hAnsi="Times New Roman" w:eastAsia="宋体" w:cs="Times New Roman"/>
              </w:rPr>
              <w:t xml:space="preserve"> </w:t>
            </w:r>
            <w:r>
              <w:rPr>
                <w:rFonts w:ascii="宋体" w:hAnsi="宋体" w:eastAsia="宋体" w:cs="宋体"/>
                <w:color w:val="000000"/>
                <w:kern w:val="0"/>
                <w:sz w:val="20"/>
                <w:szCs w:val="20"/>
                <w:lang w:bidi="ar"/>
              </w:rPr>
              <w:t>mm</w:t>
            </w:r>
            <w:r>
              <w:rPr>
                <w:rFonts w:hint="eastAsia" w:ascii="宋体" w:hAnsi="宋体" w:eastAsia="宋体" w:cs="宋体"/>
                <w:color w:val="000000"/>
                <w:kern w:val="0"/>
                <w:sz w:val="20"/>
                <w:szCs w:val="20"/>
                <w:lang w:bidi="ar"/>
              </w:rPr>
              <w:t>×宽770</w:t>
            </w:r>
            <w:r>
              <w:rPr>
                <w:rFonts w:ascii="Times New Roman" w:hAnsi="Times New Roman" w:eastAsia="宋体" w:cs="Times New Roman"/>
              </w:rPr>
              <w:t xml:space="preserve"> </w:t>
            </w:r>
            <w:r>
              <w:rPr>
                <w:rFonts w:ascii="宋体" w:hAnsi="宋体" w:eastAsia="宋体" w:cs="宋体"/>
                <w:color w:val="000000"/>
                <w:kern w:val="0"/>
                <w:sz w:val="20"/>
                <w:szCs w:val="20"/>
                <w:lang w:bidi="ar"/>
              </w:rPr>
              <w:t>mm</w:t>
            </w:r>
            <w:r>
              <w:rPr>
                <w:rFonts w:hint="eastAsia" w:ascii="宋体" w:hAnsi="宋体" w:eastAsia="宋体" w:cs="宋体"/>
                <w:color w:val="000000"/>
                <w:kern w:val="0"/>
                <w:sz w:val="20"/>
                <w:szCs w:val="20"/>
                <w:lang w:bidi="ar"/>
              </w:rPr>
              <w:t>×深900</w:t>
            </w:r>
            <w:r>
              <w:rPr>
                <w:rFonts w:ascii="Times New Roman" w:hAnsi="Times New Roman" w:eastAsia="宋体" w:cs="Times New Roman"/>
              </w:rPr>
              <w:t xml:space="preserve"> </w:t>
            </w:r>
            <w:r>
              <w:rPr>
                <w:rFonts w:ascii="宋体" w:hAnsi="宋体" w:eastAsia="宋体" w:cs="宋体"/>
                <w:color w:val="000000"/>
                <w:kern w:val="0"/>
                <w:sz w:val="20"/>
                <w:szCs w:val="20"/>
                <w:lang w:bidi="ar"/>
              </w:rPr>
              <w:t>mm</w:t>
            </w:r>
            <w:r>
              <w:rPr>
                <w:rFonts w:hint="eastAsia" w:ascii="宋体" w:hAnsi="宋体" w:eastAsia="宋体" w:cs="宋体"/>
                <w:color w:val="000000"/>
                <w:kern w:val="0"/>
                <w:sz w:val="20"/>
                <w:szCs w:val="20"/>
                <w:lang w:bidi="ar"/>
              </w:rPr>
              <w:t>。</w:t>
            </w:r>
          </w:p>
          <w:p w14:paraId="32112CF9">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1.2.1.2 大过渡舱，直径≥φ390mm，长≥600mm。</w:t>
            </w:r>
          </w:p>
          <w:p w14:paraId="57F71C5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1.2.1.3 小过渡舱，直径≥φ150mm，长度≥330mm。</w:t>
            </w:r>
          </w:p>
          <w:p w14:paraId="3E06B47B">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1.2.2 循环净化系统（净化材料分开填装）</w:t>
            </w:r>
          </w:p>
          <w:p w14:paraId="2246B717">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1.2.2.1 除氧剂填装量≥5kg，除水剂填装量≥5kg。</w:t>
            </w:r>
          </w:p>
          <w:p w14:paraId="0DEAB01F">
            <w:pPr>
              <w:widowControl/>
              <w:jc w:val="left"/>
              <w:textAlignment w:val="top"/>
              <w:rPr>
                <w:rFonts w:hint="eastAsia" w:ascii="宋体" w:hAnsi="宋体" w:eastAsia="宋体" w:cs="宋体"/>
                <w:color w:val="EE0000"/>
                <w:sz w:val="20"/>
                <w:szCs w:val="20"/>
              </w:rPr>
            </w:pPr>
            <w:r>
              <w:rPr>
                <w:rFonts w:hint="eastAsia" w:ascii="宋体" w:hAnsi="宋体" w:eastAsia="宋体" w:cs="宋体"/>
                <w:color w:val="000000"/>
                <w:kern w:val="0"/>
                <w:sz w:val="20"/>
                <w:szCs w:val="20"/>
                <w:lang w:bidi="ar"/>
              </w:rPr>
              <w:t xml:space="preserve">1.2.2.2 净化材料还原再生系统，净化材料还原再生率可达90%。 </w:t>
            </w:r>
          </w:p>
          <w:p w14:paraId="7F7342AA">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1.3主要部件及参数要求</w:t>
            </w:r>
          </w:p>
          <w:p w14:paraId="03D176D0">
            <w:pPr>
              <w:widowControl/>
              <w:textAlignment w:val="top"/>
              <w:rPr>
                <w:rFonts w:hint="eastAsia" w:ascii="宋体" w:hAnsi="宋体" w:eastAsia="宋体" w:cs="宋体"/>
                <w:b/>
                <w:bCs/>
                <w:color w:val="000000"/>
                <w:kern w:val="0"/>
                <w:szCs w:val="21"/>
                <w:lang w:bidi="ar"/>
              </w:rPr>
            </w:pPr>
            <w:r>
              <w:rPr>
                <w:rFonts w:hint="eastAsia" w:ascii="宋体" w:hAnsi="宋体" w:eastAsia="宋体" w:cs="宋体"/>
                <w:color w:val="000000"/>
                <w:kern w:val="0"/>
                <w:sz w:val="20"/>
                <w:szCs w:val="20"/>
                <w:lang w:bidi="ar"/>
              </w:rPr>
              <w:t>▲1.3.1水分析仪：陶瓷湿度变送器、PLC显示，检测范围：0</w:t>
            </w:r>
            <w:r>
              <w:rPr>
                <w:rFonts w:ascii="Times New Roman" w:hAnsi="Times New Roman" w:eastAsia="宋体" w:cs="Times New Roman"/>
              </w:rPr>
              <w:t xml:space="preserve"> </w:t>
            </w:r>
            <w:r>
              <w:rPr>
                <w:rFonts w:ascii="宋体" w:hAnsi="宋体" w:eastAsia="宋体" w:cs="宋体"/>
                <w:color w:val="000000"/>
                <w:kern w:val="0"/>
                <w:sz w:val="20"/>
                <w:szCs w:val="20"/>
                <w:lang w:bidi="ar"/>
              </w:rPr>
              <w:t>ppm</w:t>
            </w:r>
            <w:r>
              <w:rPr>
                <w:rFonts w:hint="eastAsia" w:ascii="宋体" w:hAnsi="宋体" w:eastAsia="宋体" w:cs="宋体"/>
                <w:color w:val="000000"/>
                <w:kern w:val="0"/>
                <w:sz w:val="20"/>
                <w:szCs w:val="20"/>
                <w:lang w:bidi="ar"/>
              </w:rPr>
              <w:t>-1000ppm，</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w:t>
            </w:r>
          </w:p>
          <w:p w14:paraId="15C7B134">
            <w:pPr>
              <w:widowControl/>
              <w:textAlignment w:val="top"/>
              <w:rPr>
                <w:rFonts w:hint="eastAsia" w:ascii="宋体" w:hAnsi="宋体" w:eastAsia="宋体" w:cs="宋体"/>
                <w:b/>
                <w:bCs/>
                <w:color w:val="000000"/>
                <w:kern w:val="0"/>
                <w:szCs w:val="21"/>
                <w:lang w:bidi="ar"/>
              </w:rPr>
            </w:pPr>
            <w:r>
              <w:rPr>
                <w:rFonts w:hint="eastAsia" w:ascii="宋体" w:hAnsi="宋体" w:eastAsia="宋体" w:cs="宋体"/>
                <w:color w:val="000000"/>
                <w:kern w:val="0"/>
                <w:sz w:val="20"/>
                <w:szCs w:val="20"/>
                <w:lang w:bidi="ar"/>
              </w:rPr>
              <w:t>▲1.3.2氧分析仪：电化学传感器，独立显示，检测范围：0 ppm-1000 ppm，</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w:t>
            </w:r>
          </w:p>
          <w:p w14:paraId="28E5CEB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1.3.3真空泵流量≥12 m³/h、极限真空≤2×10</w:t>
            </w:r>
            <w:r>
              <w:rPr>
                <w:rFonts w:hint="eastAsia" w:ascii="宋体" w:hAnsi="宋体" w:eastAsia="宋体" w:cs="宋体"/>
                <w:color w:val="000000"/>
                <w:kern w:val="0"/>
                <w:sz w:val="20"/>
                <w:szCs w:val="20"/>
                <w:vertAlign w:val="superscript"/>
                <w:lang w:bidi="ar"/>
              </w:rPr>
              <w:t xml:space="preserve">-3 </w:t>
            </w:r>
            <w:r>
              <w:rPr>
                <w:rFonts w:hint="eastAsia" w:ascii="宋体" w:hAnsi="宋体" w:eastAsia="宋体" w:cs="宋体"/>
                <w:color w:val="000000"/>
                <w:kern w:val="0"/>
                <w:sz w:val="20"/>
                <w:szCs w:val="20"/>
                <w:lang w:bidi="ar"/>
              </w:rPr>
              <w:t>mbar。</w:t>
            </w:r>
          </w:p>
          <w:p w14:paraId="13390101">
            <w:pPr>
              <w:widowControl/>
              <w:textAlignment w:val="top"/>
              <w:rPr>
                <w:rFonts w:hint="eastAsia" w:ascii="宋体" w:hAnsi="宋体" w:eastAsia="宋体" w:cs="宋体"/>
                <w:color w:val="FF0000"/>
                <w:kern w:val="0"/>
                <w:sz w:val="20"/>
                <w:szCs w:val="20"/>
                <w:highlight w:val="yellow"/>
                <w:lang w:bidi="ar"/>
              </w:rPr>
            </w:pPr>
            <w:r>
              <w:rPr>
                <w:rFonts w:hint="eastAsia" w:ascii="宋体" w:hAnsi="宋体" w:eastAsia="宋体" w:cs="宋体"/>
                <w:color w:val="000000"/>
                <w:kern w:val="0"/>
                <w:sz w:val="20"/>
                <w:szCs w:val="20"/>
                <w:lang w:bidi="ar"/>
              </w:rPr>
              <w:t>1.3.4 定制工作气压力检测保护系统：压力过高时自动能保护手套箱。</w:t>
            </w:r>
          </w:p>
          <w:p w14:paraId="0CE83CC3">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1.3.5 PLC控制及触摸屏操作显示系统：友好的人机对话界面，电气控制系统终身质保，终身软件升级，水氧含量及其箱压数据实时存储。</w:t>
            </w:r>
          </w:p>
          <w:p w14:paraId="446FBD9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2.配置清单</w:t>
            </w:r>
          </w:p>
          <w:p w14:paraId="0DC8040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2.1手套箱体  1 套。</w:t>
            </w:r>
          </w:p>
          <w:p w14:paraId="4D5005D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2.2大小过渡舱  1 套。</w:t>
            </w:r>
          </w:p>
          <w:p w14:paraId="11FC0B6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2.3水氧分析仪  1 套。</w:t>
            </w:r>
          </w:p>
          <w:p w14:paraId="0D4D43A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2.4原装进口真空泵 1 套。</w:t>
            </w:r>
          </w:p>
          <w:p w14:paraId="68295F7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2.5定制工作气压力检测保护系统 1 套。</w:t>
            </w:r>
          </w:p>
          <w:p w14:paraId="163F62F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2.6净化系统  1 套。</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493AC">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1DD37">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3E35A1CA">
        <w:tblPrEx>
          <w:tblCellMar>
            <w:top w:w="0" w:type="dxa"/>
            <w:left w:w="108" w:type="dxa"/>
            <w:bottom w:w="0" w:type="dxa"/>
            <w:right w:w="108" w:type="dxa"/>
          </w:tblCellMar>
        </w:tblPrEx>
        <w:trPr>
          <w:trHeight w:val="90"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D1D7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12658">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多通道电池测试系统</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7818C0F4">
            <w:pPr>
              <w:widowControl/>
              <w:jc w:val="left"/>
              <w:textAlignment w:val="top"/>
              <w:rPr>
                <w:rFonts w:hint="eastAsia" w:ascii="宋体" w:hAnsi="宋体" w:eastAsia="宋体" w:cs="宋体"/>
                <w:color w:val="EE0000"/>
                <w:kern w:val="0"/>
                <w:sz w:val="20"/>
                <w:szCs w:val="20"/>
                <w:lang w:bidi="ar"/>
              </w:rPr>
            </w:pPr>
            <w:r>
              <w:rPr>
                <w:rFonts w:hint="eastAsia" w:ascii="宋体" w:hAnsi="宋体" w:eastAsia="宋体" w:cs="宋体"/>
                <w:color w:val="000000"/>
                <w:kern w:val="0"/>
                <w:sz w:val="20"/>
                <w:szCs w:val="20"/>
                <w:lang w:bidi="ar"/>
              </w:rPr>
              <w:t>1.箱体配有可穿线测试孔。</w:t>
            </w:r>
          </w:p>
          <w:p w14:paraId="68AF395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2.设备需要结合电池特点，设定的参数可以在停电的情况下自动储存。</w:t>
            </w:r>
          </w:p>
          <w:p w14:paraId="2536A8D3">
            <w:pPr>
              <w:widowControl/>
              <w:jc w:val="left"/>
              <w:textAlignment w:val="top"/>
              <w:rPr>
                <w:rFonts w:hint="eastAsia" w:ascii="宋体" w:hAnsi="宋体" w:eastAsia="宋体" w:cs="宋体"/>
                <w:color w:val="EE0000"/>
                <w:sz w:val="20"/>
                <w:szCs w:val="20"/>
              </w:rPr>
            </w:pPr>
            <w:r>
              <w:rPr>
                <w:rFonts w:hint="eastAsia" w:ascii="宋体" w:hAnsi="宋体" w:eastAsia="宋体" w:cs="宋体"/>
                <w:color w:val="000000"/>
                <w:kern w:val="0"/>
                <w:sz w:val="20"/>
                <w:szCs w:val="20"/>
                <w:lang w:bidi="ar"/>
              </w:rPr>
              <w:t>3.工作室采用镜面不锈钢板制成，采用圆弧结构设计。</w:t>
            </w:r>
          </w:p>
          <w:p w14:paraId="3CF77CAC">
            <w:pPr>
              <w:widowControl/>
              <w:jc w:val="left"/>
              <w:textAlignment w:val="top"/>
              <w:rPr>
                <w:rFonts w:hint="eastAsia" w:ascii="宋体" w:hAnsi="宋体" w:eastAsia="宋体" w:cs="宋体"/>
                <w:color w:val="EE0000"/>
                <w:sz w:val="20"/>
                <w:szCs w:val="20"/>
              </w:rPr>
            </w:pPr>
            <w:r>
              <w:rPr>
                <w:rFonts w:hint="eastAsia" w:ascii="宋体" w:hAnsi="宋体" w:eastAsia="宋体" w:cs="宋体"/>
                <w:color w:val="000000"/>
                <w:kern w:val="0"/>
                <w:sz w:val="20"/>
                <w:szCs w:val="20"/>
                <w:lang w:bidi="ar"/>
              </w:rPr>
              <w:t>4.复式门设计，内门为钢化玻璃。</w:t>
            </w:r>
          </w:p>
          <w:p w14:paraId="7D769A0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5.具有冷热自动控制功能。</w:t>
            </w:r>
          </w:p>
          <w:p w14:paraId="4A005D6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6.公称容积≥80L，内部配置隔板数量≥3个，设备配置串线孔≥2个，孔径≥φ50mm。</w:t>
            </w:r>
          </w:p>
          <w:p w14:paraId="0B0B33E0">
            <w:pPr>
              <w:widowControl/>
              <w:jc w:val="left"/>
              <w:textAlignment w:val="top"/>
              <w:rPr>
                <w:rFonts w:hint="eastAsia" w:ascii="宋体" w:hAnsi="宋体" w:eastAsia="宋体" w:cs="宋体"/>
                <w:color w:val="EE0000"/>
                <w:sz w:val="20"/>
                <w:szCs w:val="20"/>
              </w:rPr>
            </w:pPr>
            <w:r>
              <w:rPr>
                <w:rFonts w:hint="eastAsia" w:ascii="宋体" w:hAnsi="宋体" w:eastAsia="宋体" w:cs="宋体"/>
                <w:color w:val="000000"/>
                <w:kern w:val="0"/>
                <w:sz w:val="20"/>
                <w:szCs w:val="20"/>
                <w:lang w:bidi="ar"/>
              </w:rPr>
              <w:t>7.设备配置5V/10mA 8通道电池测试仪。</w:t>
            </w:r>
          </w:p>
          <w:p w14:paraId="47D1BF7D">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8.设备温度控制范围0℃-60℃，温度波动度≤±1℃，温度均匀性≤±2℃。</w:t>
            </w:r>
          </w:p>
          <w:p w14:paraId="54ABF134">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9.配置现场数据处理终端，能够安装仪器运行所需的操作软件，并能完成数据处理和输出。</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14D14">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6D567">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7A89E929">
        <w:tblPrEx>
          <w:tblCellMar>
            <w:top w:w="0" w:type="dxa"/>
            <w:left w:w="108" w:type="dxa"/>
            <w:bottom w:w="0" w:type="dxa"/>
            <w:right w:w="108" w:type="dxa"/>
          </w:tblCellMar>
        </w:tblPrEx>
        <w:trPr>
          <w:trHeight w:val="2557"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CA644">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3370C">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行星式离心混料机</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71F3B7F9">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1.设备行星式离心混料，最大公转速度不小于2000rpm，无级调速，精度1rpm，自转与公转速比≥0.6。</w:t>
            </w:r>
          </w:p>
          <w:p w14:paraId="2DE5CBF6">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2.设备配置不小于2个 规格为150mL混料罐,设备单次最大处理量不小于75mL×2罐。</w:t>
            </w:r>
          </w:p>
          <w:p w14:paraId="63CE639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4.混料时间可设置三段，每段转速、时间和真空度可单独设立，总计可保存不少于8种参数。</w:t>
            </w:r>
          </w:p>
          <w:p w14:paraId="7FD0C0F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5.时间设定范围1s-999s，精度1s。</w:t>
            </w:r>
          </w:p>
          <w:p w14:paraId="0688E89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6.设备具有温度监控功能，超温报警。</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0406C">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45F54">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0FD6F796">
        <w:tblPrEx>
          <w:tblCellMar>
            <w:top w:w="0" w:type="dxa"/>
            <w:left w:w="108" w:type="dxa"/>
            <w:bottom w:w="0" w:type="dxa"/>
            <w:right w:w="108" w:type="dxa"/>
          </w:tblCellMar>
        </w:tblPrEx>
        <w:trPr>
          <w:trHeight w:val="2557"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2CD5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B8D58">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加热型磁力搅拌器</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187A388C">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1.PID 控温技术实时精准控制加热过程。</w:t>
            </w:r>
          </w:p>
          <w:p w14:paraId="23D8029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2.玻璃陶瓷工作盘。</w:t>
            </w:r>
          </w:p>
          <w:p w14:paraId="30E8296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3.具有50℃余温提醒功能，保护使用人安全。</w:t>
            </w:r>
          </w:p>
          <w:p w14:paraId="558855D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4.高清LCD 屏能够显示实际温度和转速。</w:t>
            </w:r>
          </w:p>
          <w:p w14:paraId="6A52E12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5.直流无刷电机。</w:t>
            </w:r>
          </w:p>
          <w:p w14:paraId="0894047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6.单个最大搅拌量（H</w:t>
            </w:r>
            <w:r>
              <w:rPr>
                <w:rFonts w:hint="eastAsia" w:ascii="宋体" w:hAnsi="宋体" w:eastAsia="宋体" w:cs="宋体"/>
                <w:color w:val="000000"/>
                <w:kern w:val="0"/>
                <w:sz w:val="20"/>
                <w:szCs w:val="20"/>
                <w:vertAlign w:val="subscript"/>
                <w:lang w:bidi="ar"/>
              </w:rPr>
              <w:t>2</w:t>
            </w:r>
            <w:r>
              <w:rPr>
                <w:rFonts w:hint="eastAsia" w:ascii="宋体" w:hAnsi="宋体" w:eastAsia="宋体" w:cs="宋体"/>
                <w:color w:val="000000"/>
                <w:kern w:val="0"/>
                <w:sz w:val="20"/>
                <w:szCs w:val="20"/>
                <w:lang w:bidi="ar"/>
              </w:rPr>
              <w:t>O）≥20L。</w:t>
            </w:r>
          </w:p>
          <w:p w14:paraId="317BE94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7.转速范围100rpm-1500rpm，转速显示分辨率±1rpm。</w:t>
            </w:r>
          </w:p>
          <w:p w14:paraId="79B1FEE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8.温度控制范围常温（给出具体数值）至550℃。</w:t>
            </w:r>
          </w:p>
          <w:p w14:paraId="3C8D764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9.温度显示精度不低于±0.1℃。</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06EC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64CA4">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1C91F944">
        <w:tblPrEx>
          <w:tblCellMar>
            <w:top w:w="0" w:type="dxa"/>
            <w:left w:w="108" w:type="dxa"/>
            <w:bottom w:w="0" w:type="dxa"/>
            <w:right w:w="108" w:type="dxa"/>
          </w:tblCellMar>
        </w:tblPrEx>
        <w:trPr>
          <w:trHeight w:val="1425"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4FE53">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D7EE9">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精密内阻测试仪</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5AFA726E">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1.全量程自动或手动测量模式。</w:t>
            </w:r>
          </w:p>
          <w:p w14:paraId="5504D23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2.内阻测试范围：0.1μΩ-3kΩ，基本精度为0.3%。</w:t>
            </w:r>
          </w:p>
          <w:p w14:paraId="35020D5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3.电压测试范围：10μV-60V，基本精度为0.01%。</w:t>
            </w:r>
          </w:p>
          <w:p w14:paraId="2AC63EF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4.比较器：30组记录，2-4档分选可选。</w:t>
            </w:r>
          </w:p>
          <w:p w14:paraId="1269347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5.触发模式包含但不限于内部触发、手动触发、外部触发等。</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F54D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65CC7">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5F01397B">
        <w:tblPrEx>
          <w:tblCellMar>
            <w:top w:w="0" w:type="dxa"/>
            <w:left w:w="108" w:type="dxa"/>
            <w:bottom w:w="0" w:type="dxa"/>
            <w:right w:w="108" w:type="dxa"/>
          </w:tblCellMar>
        </w:tblPrEx>
        <w:trPr>
          <w:trHeight w:val="1142"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4574F">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62E9D">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旋片式真空泵</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351730BA">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1.抽速：≥2L/s。</w:t>
            </w:r>
          </w:p>
          <w:p w14:paraId="55B5146E">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2.转速：≥1400r/min。</w:t>
            </w:r>
          </w:p>
          <w:p w14:paraId="1EDD9708">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3.工作电压：220V/380V。</w:t>
            </w:r>
          </w:p>
          <w:p w14:paraId="35F7C3E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4.电机功率：≥0.37kW。</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459DF">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8CD19">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189D0A82">
        <w:tblPrEx>
          <w:tblCellMar>
            <w:top w:w="0" w:type="dxa"/>
            <w:left w:w="108" w:type="dxa"/>
            <w:bottom w:w="0" w:type="dxa"/>
            <w:right w:w="108" w:type="dxa"/>
          </w:tblCellMar>
        </w:tblPrEx>
        <w:trPr>
          <w:trHeight w:val="421"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7183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82150">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双温区管式炉</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1862CA2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1.炉膛可采用多晶莫来纤维真空吸附（或不低于此材质）制成，温场均匀节能不得低于50%以上。</w:t>
            </w:r>
          </w:p>
          <w:p w14:paraId="20F2676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2.启动电炉，排温风机同时自动运行，试验结束后，排温风机将继续运行，直至炉体温度低于60℃，排温风机自行停止，具有有效保护炉体表面功能。</w:t>
            </w:r>
          </w:p>
          <w:p w14:paraId="0E75B27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3.炉门具备开启自动断电、超温保护功能、漏电保护功能，能够确保使用的安全性。</w:t>
            </w:r>
          </w:p>
          <w:p w14:paraId="544C1CC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4.操作选用具有低压保障人身安全，材质耐用、防护及精准触感的低压金属按钮且自带状态指示灯。</w:t>
            </w:r>
          </w:p>
          <w:p w14:paraId="06F7E15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5.上下炉体须采用航空插头连接方式连接，确保使用安全可靠。</w:t>
            </w:r>
          </w:p>
          <w:p w14:paraId="6E8BCC0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6.进口程序控温系统，不少于4条曲线，总共可编程不少于40段程序控温。</w:t>
            </w:r>
          </w:p>
          <w:p w14:paraId="041ED5BB">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7.具体性能：</w:t>
            </w:r>
          </w:p>
          <w:p w14:paraId="2DFA086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7.1温度范围至少包含：300℃-1200℃。</w:t>
            </w:r>
          </w:p>
          <w:p w14:paraId="6C221ED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7.2温度分辨率：≤1℃。</w:t>
            </w:r>
          </w:p>
          <w:p w14:paraId="7406888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7.3温度精度：±1℃。</w:t>
            </w:r>
          </w:p>
          <w:p w14:paraId="39B1971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7.4升温速率：0℃/min-20℃/min。</w:t>
            </w:r>
          </w:p>
          <w:p w14:paraId="6CFD14C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7.5加热区长度：≥420 mm。</w:t>
            </w:r>
          </w:p>
          <w:p w14:paraId="4414146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7.6恒温区长度：≥280 mm。</w:t>
            </w:r>
          </w:p>
          <w:p w14:paraId="5160818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7.7最大真空度：-0.1MPa。</w:t>
            </w:r>
          </w:p>
          <w:p w14:paraId="7E55C90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7.8空炉升温时间：≤15min。</w:t>
            </w:r>
          </w:p>
          <w:p w14:paraId="3C0EA34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7.9配置炉管时升温速度：①500℃以下，升温速度≤5℃/min，②500℃-800℃，升温速度≤10℃/min；③800℃-1000℃，升温速度≤5℃/min，④1000℃以上，升温速度≤2℃/min。</w:t>
            </w:r>
          </w:p>
          <w:p w14:paraId="1899E2FC">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8.标准配置：</w:t>
            </w:r>
          </w:p>
          <w:p w14:paraId="62A5A66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气路总成一套（含真空表），高温手套1副，石英管1根，石英堵2个，石英舟2只，钩子1把。</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C9FFF">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2BB6D">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0E3F8592">
        <w:tblPrEx>
          <w:tblCellMar>
            <w:top w:w="0" w:type="dxa"/>
            <w:left w:w="108" w:type="dxa"/>
            <w:bottom w:w="0" w:type="dxa"/>
            <w:right w:w="108" w:type="dxa"/>
          </w:tblCellMar>
        </w:tblPrEx>
        <w:trPr>
          <w:trHeight w:val="2745"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8E2C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01BE4">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电动对辊机</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7A0AFDD9">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1.轧辊采用冷轧模具钢，轧辊表面采用镀硬铬处理,表面硬度HRC58-62，硬度层厚度≥10mm。</w:t>
            </w:r>
          </w:p>
          <w:p w14:paraId="12B9702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2.轧辊直径≥Φ94mm，轧辊宽度≥150mm，可适用基材最大幅宽≥140mm。</w:t>
            </w:r>
          </w:p>
          <w:p w14:paraId="6F0F9D6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3.最大轧制压力≥3T。</w:t>
            </w:r>
          </w:p>
          <w:p w14:paraId="45160BC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4.轧制精度≤±2.5μm。</w:t>
            </w:r>
          </w:p>
          <w:p w14:paraId="79CD997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5.轧辊圆跳动优于±2μm。</w:t>
            </w:r>
          </w:p>
          <w:p w14:paraId="5F86615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6.轧辊驱动为电机驱动，最大轧制速度≥28mm/s。</w:t>
            </w:r>
          </w:p>
          <w:p w14:paraId="41506C0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7.斜块式辊缝调节装置，可手动调节辊缝,最大间隙≥1.3mm。</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CBE81">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527A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51764598">
        <w:tblPrEx>
          <w:tblCellMar>
            <w:top w:w="0" w:type="dxa"/>
            <w:left w:w="108" w:type="dxa"/>
            <w:bottom w:w="0" w:type="dxa"/>
            <w:right w:w="108" w:type="dxa"/>
          </w:tblCellMar>
        </w:tblPrEx>
        <w:trPr>
          <w:trHeight w:val="1425"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3D93A">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15FD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真空干燥箱</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6F265F7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1.有效容积≥50L。</w:t>
            </w:r>
          </w:p>
          <w:p w14:paraId="2E2875E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2.温度范围为RT+10℃-200℃。</w:t>
            </w:r>
          </w:p>
          <w:p w14:paraId="6140D2F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3.温度波动度≤±1℃。</w:t>
            </w:r>
          </w:p>
          <w:p w14:paraId="0EE9838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4.需配置机械指针式真空表，设备内部配置搁板不少于2块。</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898C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AF5D8">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12782335">
        <w:tblPrEx>
          <w:tblCellMar>
            <w:top w:w="0" w:type="dxa"/>
            <w:left w:w="108" w:type="dxa"/>
            <w:bottom w:w="0" w:type="dxa"/>
            <w:right w:w="108" w:type="dxa"/>
          </w:tblCellMar>
        </w:tblPrEx>
        <w:trPr>
          <w:trHeight w:val="3977"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8C829">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3B4F9">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电子天平</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57427365">
            <w:pPr>
              <w:widowControl w:val="0"/>
              <w:numPr>
                <w:ilvl w:val="255"/>
                <w:numId w:val="0"/>
              </w:numPr>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主要参数</w:t>
            </w:r>
          </w:p>
          <w:p w14:paraId="2B51D9B6">
            <w:pPr>
              <w:widowControl w:val="0"/>
              <w:numPr>
                <w:ilvl w:val="255"/>
                <w:numId w:val="0"/>
              </w:numPr>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1.称重能力≥220g；</w:t>
            </w:r>
          </w:p>
          <w:p w14:paraId="7E19E3CB">
            <w:pPr>
              <w:widowControl w:val="0"/>
              <w:numPr>
                <w:ilvl w:val="255"/>
                <w:numId w:val="0"/>
              </w:numPr>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2.可读性：0.1mg；</w:t>
            </w:r>
          </w:p>
          <w:p w14:paraId="4244EA4B">
            <w:pPr>
              <w:widowControl w:val="0"/>
              <w:numPr>
                <w:ilvl w:val="255"/>
                <w:numId w:val="0"/>
              </w:numPr>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3.重复性（负载为5%时）：0.08mg ；</w:t>
            </w:r>
          </w:p>
          <w:p w14:paraId="68DD0959">
            <w:pPr>
              <w:widowControl w:val="0"/>
              <w:numPr>
                <w:ilvl w:val="255"/>
                <w:numId w:val="0"/>
              </w:numPr>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4.重复性（满量程）：0.1mg；</w:t>
            </w:r>
          </w:p>
          <w:p w14:paraId="02BC8DD4">
            <w:pPr>
              <w:widowControl w:val="0"/>
              <w:numPr>
                <w:ilvl w:val="255"/>
                <w:numId w:val="0"/>
              </w:numPr>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5.线性：0.06mg；</w:t>
            </w:r>
          </w:p>
          <w:p w14:paraId="1699A01C">
            <w:pPr>
              <w:widowControl w:val="0"/>
              <w:numPr>
                <w:ilvl w:val="255"/>
                <w:numId w:val="0"/>
              </w:numPr>
              <w:jc w:val="left"/>
              <w:rPr>
                <w:rFonts w:hint="eastAsia" w:ascii="宋体" w:hAnsi="宋体" w:eastAsia="宋体" w:cs="宋体"/>
                <w:b/>
                <w:bCs/>
                <w:color w:val="000000"/>
                <w:kern w:val="0"/>
                <w:sz w:val="21"/>
                <w:szCs w:val="21"/>
                <w:lang w:val="en-US" w:eastAsia="zh-CN" w:bidi="ar"/>
              </w:rPr>
            </w:pPr>
            <w:r>
              <w:rPr>
                <w:rFonts w:hint="eastAsia" w:ascii="宋体" w:hAnsi="宋体" w:eastAsia="宋体" w:cs="宋体"/>
                <w:color w:val="000000"/>
                <w:kern w:val="0"/>
                <w:sz w:val="20"/>
                <w:szCs w:val="20"/>
                <w:lang w:val="en-US" w:eastAsia="zh-CN" w:bidi="ar"/>
              </w:rPr>
              <w:t>6.稳定时间：1.5s</w:t>
            </w:r>
            <w:r>
              <w:rPr>
                <w:rFonts w:hint="eastAsia" w:ascii="宋体" w:hAnsi="宋体" w:eastAsia="宋体" w:cs="宋体"/>
                <w:b/>
                <w:bCs/>
                <w:color w:val="000000"/>
                <w:kern w:val="0"/>
                <w:sz w:val="21"/>
                <w:szCs w:val="21"/>
                <w:lang w:val="en-US" w:eastAsia="zh-CN" w:bidi="ar"/>
              </w:rPr>
              <w:t>。</w:t>
            </w:r>
          </w:p>
          <w:p w14:paraId="1EA01E7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7.LED触摸屏，具有只需点击屏幕图标即可一键选择防震等级功能。</w:t>
            </w:r>
          </w:p>
          <w:p w14:paraId="7FBD0F2B">
            <w:pPr>
              <w:widowControl w:val="0"/>
              <w:jc w:val="left"/>
              <w:rPr>
                <w:rFonts w:hint="eastAsia" w:ascii="宋体" w:hAnsi="宋体" w:eastAsia="宋体" w:cs="宋体"/>
                <w:b/>
                <w:bCs/>
                <w:color w:val="000000"/>
                <w:kern w:val="0"/>
                <w:sz w:val="21"/>
                <w:szCs w:val="21"/>
                <w:lang w:val="en-US" w:eastAsia="zh-CN" w:bidi="ar"/>
              </w:rPr>
            </w:pPr>
            <w:r>
              <w:rPr>
                <w:rFonts w:hint="eastAsia" w:ascii="宋体" w:hAnsi="宋体" w:eastAsia="宋体" w:cs="宋体"/>
                <w:color w:val="000000"/>
                <w:kern w:val="0"/>
                <w:sz w:val="20"/>
                <w:szCs w:val="20"/>
                <w:lang w:val="en-US" w:eastAsia="zh-CN" w:bidi="ar"/>
              </w:rPr>
              <w:t>8.超级单体传感器。</w:t>
            </w:r>
          </w:p>
          <w:p w14:paraId="12FBEC5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9.连接方式包括但不限于USB C 型接口及9 针RS232 接口。</w:t>
            </w:r>
          </w:p>
          <w:p w14:paraId="65A5B77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10.需具有密码保护功能，确保安全运行。</w:t>
            </w:r>
          </w:p>
          <w:p w14:paraId="217C3A7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11.内置 至少12 种应用程序，且满足打印输出 | 数据，输出符合 GLP|GMP 要求。包括但不限于以下程序：</w:t>
            </w:r>
          </w:p>
          <w:p w14:paraId="35DC49E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称量 | 填料，计数，称量百分比，混合 | 净重总重，组分 | 总重，动物称量，计算 | 自由因子，密度测定，统计，峰值保持，检重，质量单位转换。</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B750F">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6BA5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46805FB8">
        <w:tblPrEx>
          <w:tblCellMar>
            <w:top w:w="0" w:type="dxa"/>
            <w:left w:w="108" w:type="dxa"/>
            <w:bottom w:w="0" w:type="dxa"/>
            <w:right w:w="108" w:type="dxa"/>
          </w:tblCellMar>
        </w:tblPrEx>
        <w:trPr>
          <w:trHeight w:val="1125"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B5C2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C25D4">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分析天平</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0B841D0C">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1.称重能力：≥95g。</w:t>
            </w:r>
          </w:p>
          <w:p w14:paraId="665AFF7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2.可读性：≥0.01mg。</w:t>
            </w:r>
          </w:p>
          <w:p w14:paraId="4C077B9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3.重复性：≤0.015mg。</w:t>
            </w:r>
          </w:p>
          <w:p w14:paraId="561CC69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4.线性：≤0.05mg。</w:t>
            </w:r>
          </w:p>
          <w:p w14:paraId="28FA6E7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5.稳定时间：≤4s。</w:t>
            </w:r>
          </w:p>
          <w:p w14:paraId="2A6B7649">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6.称重盘尺寸：≥80mm。</w:t>
            </w:r>
          </w:p>
          <w:p w14:paraId="77A59FD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7.称量室高度：≥240mm。</w:t>
            </w:r>
          </w:p>
          <w:p w14:paraId="27F0F1D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8.连接方式USB C 型接口，9 针RS232 接口。</w:t>
            </w:r>
          </w:p>
          <w:p w14:paraId="617A819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9.密码保护确保安全运行，防止意外更改天平设置。</w:t>
            </w:r>
          </w:p>
          <w:p w14:paraId="33C9AE4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10.内置不少于 12 种应用程序，且满足打印输出 | 数据，输出符合 GLP|GMP 要求。包括但不限于以下程序：</w:t>
            </w:r>
          </w:p>
          <w:p w14:paraId="5B2FDDB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称量 | 填料，计数，称量百分比，混合 | 净重总重，组分 | 总重，动物称量，计算 | 自由因子，密度测定，统计，峰值保持，检重，质量单位转换。</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A96D7">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9A79F">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2F5BA0FD">
        <w:tblPrEx>
          <w:tblCellMar>
            <w:top w:w="0" w:type="dxa"/>
            <w:left w:w="108" w:type="dxa"/>
            <w:bottom w:w="0" w:type="dxa"/>
            <w:right w:w="108" w:type="dxa"/>
          </w:tblCellMar>
        </w:tblPrEx>
        <w:trPr>
          <w:trHeight w:val="3123"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4F17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0DB24">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研磨机</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50B3DDA7">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1.进料粒度：松脆物料小于 10 mm，其它小于 3 mm。</w:t>
            </w:r>
          </w:p>
          <w:p w14:paraId="1F4B26F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2.出料粒度：最小可至 0.1μ</w:t>
            </w:r>
            <w:r>
              <w:rPr>
                <w:rFonts w:ascii="宋体" w:hAnsi="宋体" w:eastAsia="宋体" w:cs="宋体"/>
                <w:color w:val="000000"/>
                <w:kern w:val="0"/>
                <w:sz w:val="20"/>
                <w:szCs w:val="20"/>
                <w:lang w:bidi="ar"/>
              </w:rPr>
              <w:t>m</w:t>
            </w:r>
            <w:r>
              <w:rPr>
                <w:rFonts w:hint="eastAsia" w:ascii="宋体" w:hAnsi="宋体" w:eastAsia="宋体" w:cs="宋体"/>
                <w:color w:val="000000"/>
                <w:kern w:val="0"/>
                <w:sz w:val="20"/>
                <w:szCs w:val="20"/>
                <w:lang w:bidi="ar"/>
              </w:rPr>
              <w:t>。</w:t>
            </w:r>
          </w:p>
          <w:p w14:paraId="2122764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3.转速：公转最大 50</w:t>
            </w:r>
            <w:r>
              <w:rPr>
                <w:rFonts w:ascii="Times New Roman" w:hAnsi="Times New Roman" w:eastAsia="宋体" w:cs="Times New Roman"/>
              </w:rPr>
              <w:t xml:space="preserve"> </w:t>
            </w:r>
            <w:r>
              <w:rPr>
                <w:rFonts w:ascii="宋体" w:hAnsi="宋体" w:eastAsia="宋体" w:cs="宋体"/>
                <w:color w:val="000000"/>
                <w:kern w:val="0"/>
                <w:sz w:val="20"/>
                <w:szCs w:val="20"/>
                <w:lang w:bidi="ar"/>
              </w:rPr>
              <w:t>r/min</w:t>
            </w:r>
            <w:r>
              <w:rPr>
                <w:rFonts w:hint="eastAsia" w:ascii="宋体" w:hAnsi="宋体" w:eastAsia="宋体" w:cs="宋体"/>
                <w:color w:val="000000"/>
                <w:kern w:val="0"/>
                <w:sz w:val="20"/>
                <w:szCs w:val="20"/>
                <w:lang w:bidi="ar"/>
              </w:rPr>
              <w:t>-400r/min，自转 100</w:t>
            </w:r>
            <w:r>
              <w:rPr>
                <w:rFonts w:ascii="Times New Roman" w:hAnsi="Times New Roman" w:eastAsia="宋体" w:cs="Times New Roman"/>
              </w:rPr>
              <w:t xml:space="preserve"> </w:t>
            </w:r>
            <w:r>
              <w:rPr>
                <w:rFonts w:ascii="宋体" w:hAnsi="宋体" w:eastAsia="宋体" w:cs="宋体"/>
                <w:color w:val="000000"/>
                <w:kern w:val="0"/>
                <w:sz w:val="20"/>
                <w:szCs w:val="20"/>
                <w:lang w:bidi="ar"/>
              </w:rPr>
              <w:t>r/min</w:t>
            </w:r>
            <w:r>
              <w:rPr>
                <w:rFonts w:hint="eastAsia" w:ascii="宋体" w:hAnsi="宋体" w:eastAsia="宋体" w:cs="宋体"/>
                <w:color w:val="000000"/>
                <w:kern w:val="0"/>
                <w:sz w:val="20"/>
                <w:szCs w:val="20"/>
                <w:lang w:bidi="ar"/>
              </w:rPr>
              <w:t xml:space="preserve"> -800 r/min。</w:t>
            </w:r>
          </w:p>
          <w:p w14:paraId="42210DA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4.转速比：(公转：自转) 1:2。</w:t>
            </w:r>
          </w:p>
          <w:p w14:paraId="0915F44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 xml:space="preserve">5.调速方式：变频器无级调速，转速精度≥0.2 </w:t>
            </w:r>
            <w:r>
              <w:rPr>
                <w:rFonts w:ascii="宋体" w:hAnsi="宋体" w:eastAsia="宋体" w:cs="宋体"/>
                <w:color w:val="000000"/>
                <w:kern w:val="0"/>
                <w:sz w:val="20"/>
                <w:szCs w:val="20"/>
                <w:lang w:bidi="ar"/>
              </w:rPr>
              <w:t>r/min</w:t>
            </w:r>
            <w:r>
              <w:rPr>
                <w:rFonts w:hint="eastAsia" w:ascii="宋体" w:hAnsi="宋体" w:eastAsia="宋体" w:cs="宋体"/>
                <w:color w:val="000000"/>
                <w:kern w:val="0"/>
                <w:sz w:val="20"/>
                <w:szCs w:val="20"/>
                <w:lang w:bidi="ar"/>
              </w:rPr>
              <w:t>。</w:t>
            </w:r>
          </w:p>
          <w:p w14:paraId="2A47E54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6.工作方式：可满足两个或四个罐同时工作。</w:t>
            </w:r>
          </w:p>
          <w:p w14:paraId="2333F78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7.最大连续工作时间：≥72 h（定时器 0h-9999h）。</w:t>
            </w:r>
          </w:p>
          <w:p w14:paraId="1BAC30B1">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8.程控控制包括但不限于可按设置程序正转、反转反复交替运行（1min-999min）及正转、暂停、反转、暂停、正转（1min-999min）交替运行等功能</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4BBAF">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10A0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186D5CF1">
        <w:tblPrEx>
          <w:tblCellMar>
            <w:top w:w="0" w:type="dxa"/>
            <w:left w:w="108" w:type="dxa"/>
            <w:bottom w:w="0" w:type="dxa"/>
            <w:right w:w="108" w:type="dxa"/>
          </w:tblCellMar>
        </w:tblPrEx>
        <w:trPr>
          <w:trHeight w:val="1708"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BE4F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13</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B0C5A">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红外烘干平板涂覆机</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3DA5BCE0">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1.配置红外加热干燥装置，涂覆基板真空吸附，触摸屏操作，且满足最大干燥温度≥120℃。</w:t>
            </w:r>
          </w:p>
          <w:p w14:paraId="1A4BB19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2.标配刮刀涂覆器，挤压涂覆、四面制膜器涂覆、线棒等涂覆方式，最大涂覆尺寸≥长270mm×宽150mm。</w:t>
            </w:r>
          </w:p>
          <w:p w14:paraId="64E8F45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3.机械速度范围至少包括：20mm/s-120mm/s可调。</w:t>
            </w:r>
          </w:p>
          <w:p w14:paraId="57F2FC4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4.刮刀涂覆：宽度≥150mm，涂布厚度精度优于±3μm。</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44878">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CEAED">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31BDDAEA">
        <w:tblPrEx>
          <w:tblCellMar>
            <w:top w:w="0" w:type="dxa"/>
            <w:left w:w="108" w:type="dxa"/>
            <w:bottom w:w="0" w:type="dxa"/>
            <w:right w:w="108" w:type="dxa"/>
          </w:tblCellMar>
        </w:tblPrEx>
        <w:trPr>
          <w:trHeight w:val="859"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35109">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14</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884AF">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手动切片机</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1227132E">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1.配置冲孔模具直径：φ12mm/φ16mm。</w:t>
            </w:r>
          </w:p>
          <w:p w14:paraId="00178AE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2.模柄孔直径：≥φ24mm。</w:t>
            </w:r>
          </w:p>
          <w:p w14:paraId="223791F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3.主机材质：主体结构采用不锈钢，模具采用淬火钢。</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6608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124C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296F454B">
        <w:tblPrEx>
          <w:tblCellMar>
            <w:top w:w="0" w:type="dxa"/>
            <w:left w:w="108" w:type="dxa"/>
            <w:bottom w:w="0" w:type="dxa"/>
            <w:right w:w="108" w:type="dxa"/>
          </w:tblCellMar>
        </w:tblPrEx>
        <w:trPr>
          <w:trHeight w:val="1708"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401F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15</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B90E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压力可控电动扣式电池封口机</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5803E981">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1.工作电压：主机输入电压为24VDC，配有110</w:t>
            </w:r>
            <w:r>
              <w:rPr>
                <w:rFonts w:ascii="Times New Roman" w:hAnsi="Times New Roman" w:eastAsia="宋体" w:cs="Times New Roman"/>
              </w:rPr>
              <w:t xml:space="preserve"> </w:t>
            </w:r>
            <w:r>
              <w:rPr>
                <w:rFonts w:ascii="宋体" w:hAnsi="宋体" w:eastAsia="宋体" w:cs="宋体"/>
                <w:color w:val="000000"/>
                <w:kern w:val="0"/>
                <w:sz w:val="20"/>
                <w:szCs w:val="20"/>
                <w:lang w:bidi="ar"/>
              </w:rPr>
              <w:t>V</w:t>
            </w:r>
            <w:r>
              <w:rPr>
                <w:rFonts w:hint="eastAsia" w:ascii="宋体" w:hAnsi="宋体" w:eastAsia="宋体" w:cs="宋体"/>
                <w:color w:val="000000"/>
                <w:kern w:val="0"/>
                <w:sz w:val="20"/>
                <w:szCs w:val="20"/>
                <w:lang w:bidi="ar"/>
              </w:rPr>
              <w:t>-240V AC转24VDC电源适配器。</w:t>
            </w:r>
          </w:p>
          <w:p w14:paraId="2921DB32">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2.封装模具：配置CR20系列模具，能够封装包括但不限于CR2032，CR2025和CR2016纽扣电池。</w:t>
            </w:r>
          </w:p>
          <w:p w14:paraId="12E2E52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3.封装机上安装有压力传感器，可测试和控制封装压力</w:t>
            </w:r>
          </w:p>
          <w:p w14:paraId="257D064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压力范围：0T-1.4T（可调）。</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65264">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3B18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560A0890">
        <w:tblPrEx>
          <w:tblCellMar>
            <w:top w:w="0" w:type="dxa"/>
            <w:left w:w="108" w:type="dxa"/>
            <w:bottom w:w="0" w:type="dxa"/>
            <w:right w:w="108" w:type="dxa"/>
          </w:tblCellMar>
        </w:tblPrEx>
        <w:trPr>
          <w:trHeight w:val="575"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2044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16</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AA37C">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减震工作台</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40CE8C69">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1.大理石台面尺寸≥长400mm×宽450mm。</w:t>
            </w:r>
          </w:p>
          <w:p w14:paraId="4EED731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2.台脚具备高度调节功能。</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5C048">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E4C19">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6D829188">
        <w:tblPrEx>
          <w:tblCellMar>
            <w:top w:w="0" w:type="dxa"/>
            <w:left w:w="108" w:type="dxa"/>
            <w:bottom w:w="0" w:type="dxa"/>
            <w:right w:w="108" w:type="dxa"/>
          </w:tblCellMar>
        </w:tblPrEx>
        <w:trPr>
          <w:trHeight w:val="575"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75FF7">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17</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976E7">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微量移液器</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0BC32C2D">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1.量程范围至少包括：10μ</w:t>
            </w:r>
            <w:r>
              <w:rPr>
                <w:rFonts w:ascii="宋体" w:hAnsi="宋体" w:eastAsia="宋体" w:cs="宋体"/>
                <w:color w:val="000000"/>
                <w:kern w:val="0"/>
                <w:sz w:val="20"/>
                <w:szCs w:val="20"/>
                <w:lang w:bidi="ar"/>
              </w:rPr>
              <w:t>L</w:t>
            </w:r>
            <w:r>
              <w:rPr>
                <w:rFonts w:hint="eastAsia" w:ascii="宋体" w:hAnsi="宋体" w:eastAsia="宋体" w:cs="宋体"/>
                <w:color w:val="000000"/>
                <w:kern w:val="0"/>
                <w:sz w:val="20"/>
                <w:szCs w:val="20"/>
                <w:lang w:bidi="ar"/>
              </w:rPr>
              <w:t>–200 μL。</w:t>
            </w:r>
          </w:p>
          <w:p w14:paraId="59826CE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2.适配吸头：200 μL。</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9A1D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3B423">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台</w:t>
            </w:r>
          </w:p>
        </w:tc>
      </w:tr>
      <w:tr w14:paraId="4118CA66">
        <w:tblPrEx>
          <w:tblCellMar>
            <w:top w:w="0" w:type="dxa"/>
            <w:left w:w="108" w:type="dxa"/>
            <w:bottom w:w="0" w:type="dxa"/>
            <w:right w:w="108" w:type="dxa"/>
          </w:tblCellMar>
        </w:tblPrEx>
        <w:trPr>
          <w:trHeight w:val="1708"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6010C">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18</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2FFE6">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超声波清洗机</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579012E3">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1.内胆材料：不低于 304不锈钢冲压槽。</w:t>
            </w:r>
          </w:p>
          <w:p w14:paraId="4D3183E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2.震头数量：≥10枚。</w:t>
            </w:r>
          </w:p>
          <w:p w14:paraId="7F9D1A6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3.容    量：≥30 L。</w:t>
            </w:r>
          </w:p>
          <w:p w14:paraId="490B3FE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4.超声频率：≥40kHz。</w:t>
            </w:r>
          </w:p>
          <w:p w14:paraId="4F9E7FD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5.超声功率：≥600W(0-100%可调)。</w:t>
            </w:r>
          </w:p>
          <w:p w14:paraId="0E9A500B">
            <w:pPr>
              <w:widowControl/>
              <w:jc w:val="left"/>
              <w:textAlignment w:val="top"/>
              <w:rPr>
                <w:rFonts w:hint="eastAsia" w:ascii="宋体" w:hAnsi="宋体" w:eastAsia="宋体" w:cs="宋体"/>
                <w:color w:val="EE0000"/>
                <w:sz w:val="20"/>
                <w:szCs w:val="20"/>
              </w:rPr>
            </w:pPr>
            <w:r>
              <w:rPr>
                <w:rFonts w:hint="eastAsia" w:ascii="宋体" w:hAnsi="宋体" w:eastAsia="宋体" w:cs="宋体"/>
                <w:color w:val="000000"/>
                <w:kern w:val="0"/>
                <w:sz w:val="20"/>
                <w:szCs w:val="20"/>
                <w:lang w:bidi="ar"/>
              </w:rPr>
              <w:t>6.加热功率：≥1000W。</w:t>
            </w:r>
          </w:p>
          <w:p w14:paraId="50FD64A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7.时间控制：数显1min-99min。</w:t>
            </w:r>
          </w:p>
          <w:p w14:paraId="240C20E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8.温度控制：常温-80℃。</w:t>
            </w:r>
          </w:p>
          <w:p w14:paraId="005738E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9.内槽尺寸（长×宽×深）：长500</w:t>
            </w:r>
            <w:r>
              <w:rPr>
                <w:rFonts w:ascii="Times New Roman" w:hAnsi="Times New Roman" w:eastAsia="宋体" w:cs="Times New Roman"/>
              </w:rPr>
              <w:t xml:space="preserve"> </w:t>
            </w:r>
            <w:r>
              <w:rPr>
                <w:rFonts w:ascii="宋体" w:hAnsi="宋体" w:eastAsia="宋体" w:cs="宋体"/>
                <w:color w:val="000000"/>
                <w:kern w:val="0"/>
                <w:sz w:val="20"/>
                <w:szCs w:val="20"/>
                <w:lang w:bidi="ar"/>
              </w:rPr>
              <w:t>mm</w:t>
            </w:r>
            <w:r>
              <w:rPr>
                <w:rFonts w:hint="eastAsia" w:ascii="宋体" w:hAnsi="宋体" w:eastAsia="宋体" w:cs="宋体"/>
                <w:color w:val="000000"/>
                <w:kern w:val="0"/>
                <w:sz w:val="20"/>
                <w:szCs w:val="20"/>
                <w:lang w:bidi="ar"/>
              </w:rPr>
              <w:t>×宽300</w:t>
            </w:r>
            <w:r>
              <w:rPr>
                <w:rFonts w:ascii="Times New Roman" w:hAnsi="Times New Roman" w:eastAsia="宋体" w:cs="Times New Roman"/>
              </w:rPr>
              <w:t xml:space="preserve"> </w:t>
            </w:r>
            <w:r>
              <w:rPr>
                <w:rFonts w:ascii="宋体" w:hAnsi="宋体" w:eastAsia="宋体" w:cs="宋体"/>
                <w:color w:val="000000"/>
                <w:kern w:val="0"/>
                <w:sz w:val="20"/>
                <w:szCs w:val="20"/>
                <w:lang w:bidi="ar"/>
              </w:rPr>
              <w:t>mm</w:t>
            </w:r>
            <w:r>
              <w:rPr>
                <w:rFonts w:hint="eastAsia" w:ascii="宋体" w:hAnsi="宋体" w:eastAsia="宋体" w:cs="宋体"/>
                <w:color w:val="000000"/>
                <w:kern w:val="0"/>
                <w:sz w:val="20"/>
                <w:szCs w:val="20"/>
                <w:lang w:bidi="ar"/>
              </w:rPr>
              <w:t xml:space="preserve"> ×深 200 mm。</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DC5FD">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141D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台</w:t>
            </w:r>
          </w:p>
        </w:tc>
      </w:tr>
      <w:tr w14:paraId="1244B884">
        <w:tblPrEx>
          <w:tblCellMar>
            <w:top w:w="0" w:type="dxa"/>
            <w:left w:w="108" w:type="dxa"/>
            <w:bottom w:w="0" w:type="dxa"/>
            <w:right w:w="108" w:type="dxa"/>
          </w:tblCellMar>
        </w:tblPrEx>
        <w:trPr>
          <w:trHeight w:val="2274"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98258">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19</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A5B43">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鼓风干燥箱</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627BE56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1.源电压：AC220V/50Hz。</w:t>
            </w:r>
          </w:p>
          <w:p w14:paraId="461C152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2.控温范围：RT+10℃～200℃。</w:t>
            </w:r>
          </w:p>
          <w:p w14:paraId="3E65561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3.恒温波动度：≤±1.0℃。</w:t>
            </w:r>
          </w:p>
          <w:p w14:paraId="50A5463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4.温度分辨率：≤0.1℃。</w:t>
            </w:r>
          </w:p>
          <w:p w14:paraId="6F828D5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5.温度均匀度：≤±3%（测试点为100℃）。</w:t>
            </w:r>
          </w:p>
          <w:p w14:paraId="7E75C7C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6.工作环境温度：+5℃-40℃。</w:t>
            </w:r>
          </w:p>
          <w:p w14:paraId="077F0B7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7.容积：≥80L。</w:t>
            </w:r>
          </w:p>
          <w:p w14:paraId="2FE7C82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8.定时范围：1</w:t>
            </w:r>
            <w:r>
              <w:rPr>
                <w:rFonts w:ascii="Times New Roman" w:hAnsi="Times New Roman" w:eastAsia="宋体" w:cs="Times New Roman"/>
              </w:rPr>
              <w:t xml:space="preserve"> </w:t>
            </w:r>
            <w:r>
              <w:rPr>
                <w:rFonts w:ascii="宋体" w:hAnsi="宋体" w:eastAsia="宋体" w:cs="宋体"/>
                <w:color w:val="000000"/>
                <w:kern w:val="0"/>
                <w:sz w:val="20"/>
                <w:szCs w:val="20"/>
                <w:lang w:bidi="ar"/>
              </w:rPr>
              <w:t>min</w:t>
            </w:r>
            <w:r>
              <w:rPr>
                <w:rFonts w:hint="eastAsia" w:ascii="宋体" w:hAnsi="宋体" w:eastAsia="宋体" w:cs="宋体"/>
                <w:color w:val="000000"/>
                <w:kern w:val="0"/>
                <w:sz w:val="20"/>
                <w:szCs w:val="20"/>
                <w:lang w:bidi="ar"/>
              </w:rPr>
              <w:t>-5999min。</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60D34">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574F6">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台</w:t>
            </w:r>
          </w:p>
        </w:tc>
      </w:tr>
      <w:tr w14:paraId="25834240">
        <w:tblPrEx>
          <w:tblCellMar>
            <w:top w:w="0" w:type="dxa"/>
            <w:left w:w="108" w:type="dxa"/>
            <w:bottom w:w="0" w:type="dxa"/>
            <w:right w:w="108" w:type="dxa"/>
          </w:tblCellMar>
        </w:tblPrEx>
        <w:trPr>
          <w:trHeight w:val="859"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76DCD">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20</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C471D">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小型超声筛分系统</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2E70DDE8">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1.工作模式：包括但不限于连续、脉冲。</w:t>
            </w:r>
          </w:p>
          <w:p w14:paraId="3AFDD3D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2.最大加载量≥1kg。</w:t>
            </w:r>
          </w:p>
          <w:p w14:paraId="36B5A32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3.电机转速≥1400rpm。</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19950">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37317">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388273FD">
        <w:tblPrEx>
          <w:tblCellMar>
            <w:top w:w="0" w:type="dxa"/>
            <w:left w:w="108" w:type="dxa"/>
            <w:bottom w:w="0" w:type="dxa"/>
            <w:right w:w="108" w:type="dxa"/>
          </w:tblCellMar>
        </w:tblPrEx>
        <w:trPr>
          <w:trHeight w:val="1991"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165B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21</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72C56">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LCD 数控顶置式电子搅拌器</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286CD4CE">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1.最大搅拌量（H</w:t>
            </w:r>
            <w:r>
              <w:rPr>
                <w:rFonts w:ascii="Times New Roman" w:hAnsi="Times New Roman" w:eastAsia="宋体" w:cs="Times New Roman"/>
                <w:color w:val="000000"/>
                <w:sz w:val="20"/>
                <w:szCs w:val="20"/>
                <w:lang w:bidi="ar"/>
              </w:rPr>
              <w:t>₂</w:t>
            </w:r>
            <w:r>
              <w:rPr>
                <w:rFonts w:hint="eastAsia" w:ascii="宋体" w:hAnsi="宋体" w:eastAsia="宋体" w:cs="宋体"/>
                <w:color w:val="000000"/>
                <w:sz w:val="20"/>
                <w:szCs w:val="20"/>
                <w:lang w:bidi="ar"/>
              </w:rPr>
              <w:t>O）：≥20 L。</w:t>
            </w:r>
          </w:p>
          <w:p w14:paraId="722CBC7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2.电机输出功率：≥50 W。</w:t>
            </w:r>
          </w:p>
          <w:p w14:paraId="39466AE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3.电压：100V-240 V（宽电压输入）。</w:t>
            </w:r>
          </w:p>
          <w:p w14:paraId="5D802C1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4.转速范围：50rpm-2200 rpm。</w:t>
            </w:r>
          </w:p>
          <w:p w14:paraId="1929023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5.最大扭矩：≥40 N·cm。</w:t>
            </w:r>
          </w:p>
          <w:p w14:paraId="5547D6B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6.最大粘度：≥10000 mPa·s。</w:t>
            </w:r>
          </w:p>
          <w:p w14:paraId="400534A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7.钻夹头夹持直径至少包括：0.5 mm -10 mm。</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19C0C">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C46B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台</w:t>
            </w:r>
          </w:p>
        </w:tc>
      </w:tr>
      <w:tr w14:paraId="299EFC27">
        <w:tblPrEx>
          <w:tblCellMar>
            <w:top w:w="0" w:type="dxa"/>
            <w:left w:w="108" w:type="dxa"/>
            <w:bottom w:w="0" w:type="dxa"/>
            <w:right w:w="108" w:type="dxa"/>
          </w:tblCellMar>
        </w:tblPrEx>
        <w:trPr>
          <w:trHeight w:val="859"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874B7">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22</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29F71">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防爆型化学品存储柜</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1FFBA1C5">
            <w:pPr>
              <w:widowControl/>
              <w:tabs>
                <w:tab w:val="left" w:pos="312"/>
              </w:tabs>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1.规格尺寸≥高1650 mm×宽860</w:t>
            </w:r>
            <w:r>
              <w:rPr>
                <w:rFonts w:ascii="Times New Roman" w:hAnsi="Times New Roman" w:eastAsia="宋体" w:cs="Times New Roman"/>
              </w:rPr>
              <w:t xml:space="preserve"> </w:t>
            </w:r>
            <w:r>
              <w:rPr>
                <w:rFonts w:ascii="宋体" w:hAnsi="宋体" w:eastAsia="宋体" w:cs="宋体"/>
                <w:color w:val="000000"/>
                <w:kern w:val="0"/>
                <w:sz w:val="20"/>
                <w:szCs w:val="20"/>
                <w:lang w:bidi="ar"/>
              </w:rPr>
              <w:t>mm</w:t>
            </w:r>
            <w:r>
              <w:rPr>
                <w:rFonts w:hint="eastAsia" w:ascii="宋体" w:hAnsi="宋体" w:eastAsia="宋体" w:cs="宋体"/>
                <w:color w:val="000000"/>
                <w:kern w:val="0"/>
                <w:sz w:val="20"/>
                <w:szCs w:val="20"/>
                <w:lang w:bidi="ar"/>
              </w:rPr>
              <w:t xml:space="preserve"> ×深860</w:t>
            </w:r>
            <w:r>
              <w:rPr>
                <w:rFonts w:ascii="Times New Roman" w:hAnsi="Times New Roman" w:eastAsia="宋体" w:cs="Times New Roman"/>
              </w:rPr>
              <w:t xml:space="preserve"> </w:t>
            </w:r>
            <w:r>
              <w:rPr>
                <w:rFonts w:ascii="宋体" w:hAnsi="宋体" w:eastAsia="宋体" w:cs="宋体"/>
                <w:color w:val="000000"/>
                <w:kern w:val="0"/>
                <w:sz w:val="20"/>
                <w:szCs w:val="20"/>
                <w:lang w:bidi="ar"/>
              </w:rPr>
              <w:t>mm</w:t>
            </w:r>
            <w:r>
              <w:rPr>
                <w:rFonts w:hint="eastAsia" w:ascii="宋体" w:hAnsi="宋体" w:eastAsia="宋体" w:cs="宋体"/>
                <w:color w:val="000000"/>
                <w:kern w:val="0"/>
                <w:sz w:val="20"/>
                <w:szCs w:val="20"/>
                <w:lang w:bidi="ar"/>
              </w:rPr>
              <w:t xml:space="preserve">。 </w:t>
            </w:r>
            <w:r>
              <w:rPr>
                <w:rFonts w:hint="eastAsia" w:ascii="宋体" w:hAnsi="宋体" w:eastAsia="宋体" w:cs="宋体"/>
                <w:color w:val="EE0000"/>
                <w:kern w:val="0"/>
                <w:sz w:val="20"/>
                <w:szCs w:val="20"/>
                <w:lang w:bidi="ar"/>
              </w:rPr>
              <w:t xml:space="preserve">   </w:t>
            </w:r>
            <w:r>
              <w:rPr>
                <w:rFonts w:hint="eastAsia" w:ascii="宋体" w:hAnsi="宋体" w:eastAsia="宋体" w:cs="宋体"/>
                <w:color w:val="000000"/>
                <w:kern w:val="0"/>
                <w:sz w:val="20"/>
                <w:szCs w:val="20"/>
                <w:lang w:bidi="ar"/>
              </w:rPr>
              <w:t xml:space="preserve">                                      2.柜体材质需采用：1.5 mm以上冷轧钢板，双层结构。</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9D5D1">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C5ED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57DF239F">
        <w:tblPrEx>
          <w:tblCellMar>
            <w:top w:w="0" w:type="dxa"/>
            <w:left w:w="108" w:type="dxa"/>
            <w:bottom w:w="0" w:type="dxa"/>
            <w:right w:w="108" w:type="dxa"/>
          </w:tblCellMar>
        </w:tblPrEx>
        <w:trPr>
          <w:trHeight w:val="575"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C37C9">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23</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50F2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气瓶柜</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3692618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1.规格≥高1900</w:t>
            </w:r>
            <w:r>
              <w:rPr>
                <w:rFonts w:ascii="Times New Roman" w:hAnsi="Times New Roman" w:eastAsia="宋体" w:cs="Times New Roman"/>
              </w:rPr>
              <w:t xml:space="preserve"> </w:t>
            </w:r>
            <w:r>
              <w:rPr>
                <w:rFonts w:ascii="宋体" w:hAnsi="宋体" w:eastAsia="宋体" w:cs="宋体"/>
                <w:color w:val="000000"/>
                <w:kern w:val="0"/>
                <w:sz w:val="20"/>
                <w:szCs w:val="20"/>
                <w:lang w:bidi="ar"/>
              </w:rPr>
              <w:t>mm</w:t>
            </w:r>
            <w:r>
              <w:rPr>
                <w:rFonts w:hint="eastAsia" w:ascii="宋体" w:hAnsi="宋体" w:eastAsia="宋体" w:cs="宋体"/>
                <w:color w:val="000000"/>
                <w:kern w:val="0"/>
                <w:sz w:val="20"/>
                <w:szCs w:val="20"/>
                <w:lang w:bidi="ar"/>
              </w:rPr>
              <w:t>×宽900</w:t>
            </w:r>
            <w:r>
              <w:rPr>
                <w:rFonts w:ascii="Times New Roman" w:hAnsi="Times New Roman" w:eastAsia="宋体" w:cs="Times New Roman"/>
              </w:rPr>
              <w:t xml:space="preserve"> </w:t>
            </w:r>
            <w:r>
              <w:rPr>
                <w:rFonts w:ascii="宋体" w:hAnsi="宋体" w:eastAsia="宋体" w:cs="宋体"/>
                <w:color w:val="000000"/>
                <w:kern w:val="0"/>
                <w:sz w:val="20"/>
                <w:szCs w:val="20"/>
                <w:lang w:bidi="ar"/>
              </w:rPr>
              <w:t>mm</w:t>
            </w:r>
            <w:r>
              <w:rPr>
                <w:rFonts w:hint="eastAsia" w:ascii="宋体" w:hAnsi="宋体" w:eastAsia="宋体" w:cs="宋体"/>
                <w:color w:val="000000"/>
                <w:kern w:val="0"/>
                <w:sz w:val="20"/>
                <w:szCs w:val="20"/>
                <w:lang w:bidi="ar"/>
              </w:rPr>
              <w:t>×深450</w:t>
            </w:r>
            <w:r>
              <w:rPr>
                <w:rFonts w:ascii="宋体" w:hAnsi="宋体" w:eastAsia="宋体" w:cs="宋体"/>
                <w:color w:val="000000"/>
                <w:kern w:val="0"/>
                <w:sz w:val="20"/>
                <w:szCs w:val="20"/>
                <w:lang w:bidi="ar"/>
              </w:rPr>
              <w:t>mm</w:t>
            </w:r>
            <w:r>
              <w:rPr>
                <w:rFonts w:hint="eastAsia" w:ascii="宋体" w:hAnsi="宋体" w:eastAsia="宋体" w:cs="宋体"/>
                <w:color w:val="000000"/>
                <w:kern w:val="0"/>
                <w:sz w:val="20"/>
                <w:szCs w:val="20"/>
                <w:lang w:bidi="ar"/>
              </w:rPr>
              <w:t>。                                                     2.双瓶柜，带自动报警和排风系统，1.2 mm以上冷轧钢板。</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400D0">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FE8B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0F98B245">
        <w:tblPrEx>
          <w:tblCellMar>
            <w:top w:w="0" w:type="dxa"/>
            <w:left w:w="108" w:type="dxa"/>
            <w:bottom w:w="0" w:type="dxa"/>
            <w:right w:w="108" w:type="dxa"/>
          </w:tblCellMar>
        </w:tblPrEx>
        <w:trPr>
          <w:trHeight w:val="2520"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6699F">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24</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ED0F4">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双工位超高纯手套箱</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01D2F277">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1.主机参数</w:t>
            </w:r>
          </w:p>
          <w:p w14:paraId="14AC803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1.1关键技术指标要求</w:t>
            </w:r>
          </w:p>
          <w:p w14:paraId="38BEC42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1.1.1水含量≤0.1ppm。</w:t>
            </w:r>
          </w:p>
          <w:p w14:paraId="0977C95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1.1.2氧含量≤0.1ppm。</w:t>
            </w:r>
          </w:p>
          <w:p w14:paraId="5372BDEE">
            <w:pPr>
              <w:widowControl/>
              <w:textAlignment w:val="top"/>
              <w:rPr>
                <w:rFonts w:hint="eastAsia" w:ascii="宋体" w:hAnsi="宋体" w:eastAsia="宋体" w:cs="宋体"/>
                <w:b/>
                <w:bCs/>
                <w:color w:val="000000"/>
                <w:kern w:val="0"/>
                <w:szCs w:val="21"/>
                <w:lang w:bidi="ar"/>
              </w:rPr>
            </w:pPr>
            <w:r>
              <w:rPr>
                <w:rFonts w:hint="eastAsia" w:ascii="宋体" w:hAnsi="宋体" w:eastAsia="宋体" w:cs="宋体"/>
                <w:color w:val="000000"/>
                <w:kern w:val="0"/>
                <w:sz w:val="20"/>
                <w:szCs w:val="20"/>
                <w:lang w:bidi="ar"/>
              </w:rPr>
              <w:t>▲1.1.3泄漏率：≤0.001VOL%/H</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w:t>
            </w:r>
          </w:p>
          <w:p w14:paraId="73ED325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1.2其它技术指标要求</w:t>
            </w:r>
          </w:p>
          <w:p w14:paraId="6DB04BFA">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1.2.1箱体</w:t>
            </w:r>
          </w:p>
          <w:p w14:paraId="1F5FAE15">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1.2.1.1 不低于304不锈钢的箱体，箱体尺寸≥长2400 mm×宽770 mm×深900 mm。</w:t>
            </w:r>
          </w:p>
          <w:p w14:paraId="34A623A3">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1.2.1.2 大过渡舱，直径≥390mm，长600mm。</w:t>
            </w:r>
          </w:p>
          <w:p w14:paraId="64B1ED0B">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1.2.1.3 小过渡舱，直径≥150mm，长度≥330mm。</w:t>
            </w:r>
          </w:p>
          <w:p w14:paraId="18DFAE1E">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1.3循环净化系统</w:t>
            </w:r>
          </w:p>
          <w:p w14:paraId="582776AF">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1.3.1除氧剂填装量≥5kg，除水剂填装量≥5kg。</w:t>
            </w:r>
          </w:p>
          <w:p w14:paraId="7D0103D8">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1.3.2净化材料还原再生系统，净化材料还原再生率可达90%。</w:t>
            </w:r>
          </w:p>
          <w:p w14:paraId="2AFD615E">
            <w:pPr>
              <w:widowControl/>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1.4主要部件</w:t>
            </w:r>
          </w:p>
          <w:p w14:paraId="558D1C34">
            <w:pPr>
              <w:widowControl/>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1.4.1水分析仪：陶瓷湿度变送器、PLC显示，检测范围：0ppm-1000ppm</w:t>
            </w:r>
            <w:r>
              <w:rPr>
                <w:rFonts w:hint="eastAsia" w:ascii="宋体" w:hAnsi="宋体" w:eastAsia="宋体" w:cs="宋体"/>
                <w:b/>
                <w:bCs/>
                <w:color w:val="000000"/>
                <w:kern w:val="0"/>
                <w:szCs w:val="21"/>
                <w:lang w:bidi="ar"/>
              </w:rPr>
              <w:t>。</w:t>
            </w:r>
          </w:p>
          <w:p w14:paraId="217FD48E">
            <w:pPr>
              <w:widowControl/>
              <w:textAlignment w:val="top"/>
              <w:rPr>
                <w:rFonts w:hint="eastAsia" w:ascii="宋体" w:hAnsi="宋体" w:eastAsia="宋体" w:cs="宋体"/>
                <w:b/>
                <w:bCs/>
                <w:color w:val="000000"/>
                <w:kern w:val="0"/>
                <w:szCs w:val="21"/>
                <w:lang w:bidi="ar"/>
              </w:rPr>
            </w:pPr>
            <w:r>
              <w:rPr>
                <w:rFonts w:hint="eastAsia" w:ascii="宋体" w:hAnsi="宋体" w:eastAsia="宋体" w:cs="宋体"/>
                <w:color w:val="000000"/>
                <w:kern w:val="0"/>
                <w:sz w:val="20"/>
                <w:szCs w:val="20"/>
                <w:lang w:bidi="ar"/>
              </w:rPr>
              <w:t>1.4.2氧分析仪：电化学传感器，独立显示，检测范围：0ppm-1000ppm</w:t>
            </w:r>
            <w:r>
              <w:rPr>
                <w:rFonts w:hint="eastAsia" w:ascii="宋体" w:hAnsi="宋体" w:eastAsia="宋体" w:cs="宋体"/>
                <w:b/>
                <w:bCs/>
                <w:color w:val="000000"/>
                <w:kern w:val="0"/>
                <w:szCs w:val="21"/>
                <w:lang w:bidi="ar"/>
              </w:rPr>
              <w:t>。</w:t>
            </w:r>
          </w:p>
          <w:p w14:paraId="400A010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1.4.3真空泵流量≥12m³/h、极限真空≤2×10</w:t>
            </w:r>
            <w:r>
              <w:rPr>
                <w:rFonts w:hint="eastAsia" w:ascii="宋体" w:hAnsi="宋体" w:eastAsia="宋体" w:cs="宋体"/>
                <w:color w:val="000000"/>
                <w:kern w:val="0"/>
                <w:sz w:val="20"/>
                <w:szCs w:val="20"/>
                <w:vertAlign w:val="superscript"/>
                <w:lang w:bidi="ar"/>
              </w:rPr>
              <w:t>-3</w:t>
            </w:r>
            <w:r>
              <w:rPr>
                <w:rFonts w:hint="eastAsia" w:ascii="宋体" w:hAnsi="宋体" w:eastAsia="宋体" w:cs="宋体"/>
                <w:color w:val="000000"/>
                <w:kern w:val="0"/>
                <w:sz w:val="20"/>
                <w:szCs w:val="20"/>
                <w:lang w:bidi="ar"/>
              </w:rPr>
              <w:t>mbar；</w:t>
            </w:r>
          </w:p>
          <w:p w14:paraId="5AD5971F">
            <w:pPr>
              <w:widowControl/>
              <w:textAlignment w:val="top"/>
              <w:rPr>
                <w:rFonts w:hint="eastAsia" w:ascii="宋体" w:hAnsi="宋体" w:eastAsia="宋体" w:cs="宋体"/>
                <w:b/>
                <w:bCs/>
                <w:color w:val="000000"/>
                <w:kern w:val="0"/>
                <w:szCs w:val="21"/>
                <w:lang w:bidi="ar"/>
              </w:rPr>
            </w:pPr>
            <w:r>
              <w:rPr>
                <w:rFonts w:hint="eastAsia" w:ascii="宋体" w:hAnsi="宋体" w:eastAsia="宋体" w:cs="宋体"/>
                <w:color w:val="000000"/>
                <w:kern w:val="0"/>
                <w:sz w:val="20"/>
                <w:szCs w:val="20"/>
                <w:lang w:bidi="ar"/>
              </w:rPr>
              <w:t>1.4.4定制工作气压力检测保护系统：压力过高时自动能保护手套箱</w:t>
            </w:r>
            <w:r>
              <w:rPr>
                <w:rFonts w:hint="eastAsia" w:ascii="宋体" w:hAnsi="宋体" w:eastAsia="宋体" w:cs="宋体"/>
                <w:b/>
                <w:bCs/>
                <w:color w:val="000000"/>
                <w:kern w:val="0"/>
                <w:szCs w:val="21"/>
                <w:lang w:bidi="ar"/>
              </w:rPr>
              <w:t>。</w:t>
            </w:r>
          </w:p>
          <w:p w14:paraId="4F13619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▲1.4.5 PLC控制及触摸屏操作显示系统（具备友好的人机对话界面，电气控制系统终身质保，终身软件升级，水氧含量及其箱压数据实时存储，可追溯），</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w:t>
            </w:r>
          </w:p>
          <w:p w14:paraId="3593DC2F">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2.配置清单</w:t>
            </w:r>
          </w:p>
          <w:p w14:paraId="0472DA5C">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2.1手套箱体  1 套</w:t>
            </w:r>
          </w:p>
          <w:p w14:paraId="452FA262">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2.2大小过渡舱  1 套</w:t>
            </w:r>
          </w:p>
          <w:p w14:paraId="4F7574D3">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2.3水氧分析仪  1 套</w:t>
            </w:r>
          </w:p>
          <w:p w14:paraId="680F99B8">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2.4原装进口真空泵 1 套</w:t>
            </w:r>
          </w:p>
          <w:p w14:paraId="3989043B">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2.5定制工作气压力检测保护系统 1 套</w:t>
            </w:r>
          </w:p>
          <w:p w14:paraId="587423D9">
            <w:pPr>
              <w:widowControl/>
              <w:jc w:val="left"/>
              <w:textAlignment w:val="top"/>
              <w:rPr>
                <w:rFonts w:hint="eastAsia" w:ascii="宋体" w:hAnsi="宋体" w:eastAsia="宋体" w:cs="宋体"/>
                <w:color w:val="FF0000"/>
                <w:sz w:val="20"/>
                <w:szCs w:val="20"/>
              </w:rPr>
            </w:pPr>
            <w:r>
              <w:rPr>
                <w:rFonts w:hint="eastAsia" w:ascii="宋体" w:hAnsi="宋体" w:eastAsia="宋体" w:cs="宋体"/>
                <w:color w:val="000000"/>
                <w:kern w:val="0"/>
                <w:sz w:val="20"/>
                <w:szCs w:val="20"/>
                <w:lang w:bidi="ar"/>
              </w:rPr>
              <w:t>2.6净化系统  1 套</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0228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AA2EA">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3132DF22">
        <w:tblPrEx>
          <w:tblCellMar>
            <w:top w:w="0" w:type="dxa"/>
            <w:left w:w="108" w:type="dxa"/>
            <w:bottom w:w="0" w:type="dxa"/>
            <w:right w:w="108" w:type="dxa"/>
          </w:tblCellMar>
        </w:tblPrEx>
        <w:trPr>
          <w:trHeight w:val="8502"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BAA93">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25</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BBB5F">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高精度电化学工作站</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36DFE9A1">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1.主机带宽：≥15MHz。</w:t>
            </w:r>
          </w:p>
          <w:p w14:paraId="47128F3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2.电极连接：2，3，4，5电极连接体系。</w:t>
            </w:r>
          </w:p>
          <w:p w14:paraId="2E0D26F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3.浮地：是。</w:t>
            </w:r>
          </w:p>
          <w:p w14:paraId="499DBB5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4.最大电流：≥±600mA。</w:t>
            </w:r>
          </w:p>
          <w:p w14:paraId="43289CA5">
            <w:pPr>
              <w:widowControl/>
              <w:textAlignment w:val="top"/>
              <w:rPr>
                <w:rFonts w:hint="eastAsia" w:ascii="宋体" w:hAnsi="宋体" w:eastAsia="宋体" w:cs="宋体"/>
                <w:b/>
                <w:bCs/>
                <w:color w:val="000000"/>
                <w:kern w:val="0"/>
                <w:szCs w:val="21"/>
                <w:lang w:bidi="ar"/>
              </w:rPr>
            </w:pPr>
            <w:r>
              <w:rPr>
                <w:rFonts w:hint="eastAsia" w:ascii="宋体" w:hAnsi="宋体" w:eastAsia="宋体" w:cs="宋体"/>
                <w:color w:val="000000"/>
                <w:kern w:val="0"/>
                <w:sz w:val="20"/>
                <w:szCs w:val="20"/>
                <w:lang w:bidi="ar"/>
              </w:rPr>
              <w:t>5.电流量程：输出电流范围至少包括从600mA到60pA，共11档，使用×100 增益方法可获得至少13个电流档，最小测试电流可低至600fA。</w:t>
            </w:r>
          </w:p>
          <w:p w14:paraId="080E4DF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6.最小电流分辨率：20aA(主机标配)。</w:t>
            </w:r>
          </w:p>
          <w:p w14:paraId="27D0F4E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7.最小电压分辨率：1μV。</w:t>
            </w:r>
          </w:p>
          <w:p w14:paraId="164F763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8.槽压：±22V。</w:t>
            </w:r>
          </w:p>
          <w:p w14:paraId="0177F0D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9.最大施加电位：±11V(主机标配)。</w:t>
            </w:r>
          </w:p>
          <w:p w14:paraId="715ED9B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10.小信号上升时间：≤250 nS。</w:t>
            </w:r>
          </w:p>
          <w:p w14:paraId="5ED3467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11.本体噪声：≤2μV rms。</w:t>
            </w:r>
          </w:p>
          <w:p w14:paraId="6A43AB9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12.最小时基：3.333 μs。</w:t>
            </w:r>
          </w:p>
          <w:p w14:paraId="411A573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13.最小电位幅度：12.5μV。</w:t>
            </w:r>
          </w:p>
          <w:p w14:paraId="2A91660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14.EIS频率范围至少包括：10μHz-5MHz。</w:t>
            </w:r>
          </w:p>
          <w:p w14:paraId="2704BE9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15.阻抗测试误差：≤1%。</w:t>
            </w:r>
          </w:p>
          <w:p w14:paraId="7C11683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16.交流振幅：3V或600mA。</w:t>
            </w:r>
          </w:p>
          <w:p w14:paraId="42D82EB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17.输入阻抗：≥100T Ω || ≤0.2 pF。</w:t>
            </w:r>
          </w:p>
          <w:p w14:paraId="7A8524C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18.电压精度：0.2%。</w:t>
            </w:r>
          </w:p>
          <w:p w14:paraId="60E0E1A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19.输入偏置电流：≤10pA。</w:t>
            </w:r>
          </w:p>
          <w:p w14:paraId="2E3C905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20.电流精度：0.2%。</w:t>
            </w:r>
          </w:p>
          <w:p w14:paraId="647B266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21.数/模分辨率：20bit。</w:t>
            </w:r>
          </w:p>
          <w:p w14:paraId="637E6AAE">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22.软件：包括行业标准所有电化学测试功能的软件包，实验脚本语言开放源代码，允许用户创建、修改和共享脚本程序。软件终生升级。</w:t>
            </w:r>
          </w:p>
          <w:p w14:paraId="03CF86CE">
            <w:pPr>
              <w:widowControl/>
              <w:jc w:val="left"/>
              <w:textAlignment w:val="top"/>
              <w:rPr>
                <w:rFonts w:hint="eastAsia" w:ascii="宋体" w:hAnsi="宋体" w:eastAsia="宋体" w:cs="Times New Roman"/>
                <w:lang w:bidi="ar"/>
              </w:rPr>
            </w:pPr>
            <w:r>
              <w:rPr>
                <w:rFonts w:hint="eastAsia" w:ascii="宋体" w:hAnsi="宋体" w:eastAsia="宋体" w:cs="Times New Roman"/>
                <w:lang w:bidi="ar"/>
              </w:rPr>
              <w:t>23.配置现场数据处理终端，能够安装仪器运行所需的操作软件，并能完成数据处理和输出。</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34E66">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3766C">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73695FDF">
        <w:tblPrEx>
          <w:tblCellMar>
            <w:top w:w="0" w:type="dxa"/>
            <w:left w:w="108" w:type="dxa"/>
            <w:bottom w:w="0" w:type="dxa"/>
            <w:right w:w="108" w:type="dxa"/>
          </w:tblCellMar>
        </w:tblPrEx>
        <w:trPr>
          <w:trHeight w:val="999"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6E349">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26</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A296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平板热压机</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0BC2617B">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1.具备5T两块135mm×135mm的加热平台，采用耐热模具钢制成，最高可承受温度为750℃（＜30min）。</w:t>
            </w:r>
          </w:p>
          <w:p w14:paraId="3B226D1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2.可放入样品尺寸至少包括：长135mm×宽135mm×高40mm。</w:t>
            </w:r>
          </w:p>
          <w:p w14:paraId="32C02183">
            <w:pPr>
              <w:widowControl/>
              <w:jc w:val="left"/>
              <w:textAlignment w:val="top"/>
              <w:rPr>
                <w:rFonts w:hint="eastAsia" w:ascii="宋体" w:hAnsi="宋体" w:eastAsia="宋体" w:cs="宋体"/>
                <w:color w:val="EE0000"/>
                <w:sz w:val="20"/>
                <w:szCs w:val="20"/>
              </w:rPr>
            </w:pPr>
            <w:r>
              <w:rPr>
                <w:rFonts w:hint="eastAsia" w:ascii="宋体" w:hAnsi="宋体" w:eastAsia="宋体" w:cs="宋体"/>
                <w:color w:val="000000"/>
                <w:kern w:val="0"/>
                <w:sz w:val="20"/>
                <w:szCs w:val="20"/>
                <w:lang w:bidi="ar"/>
              </w:rPr>
              <w:t>3.上下加热平台在冷态下的平面度≤0.02mm（在100</w:t>
            </w:r>
            <w:r>
              <w:rPr>
                <w:rFonts w:ascii="宋体" w:hAnsi="宋体" w:eastAsia="宋体" w:cs="宋体"/>
                <w:color w:val="000000"/>
                <w:kern w:val="0"/>
                <w:sz w:val="20"/>
                <w:szCs w:val="20"/>
                <w:lang w:bidi="ar"/>
              </w:rPr>
              <w:t>mm</w:t>
            </w:r>
            <w:r>
              <w:rPr>
                <w:rFonts w:hint="eastAsia" w:ascii="宋体" w:hAnsi="宋体" w:eastAsia="宋体" w:cs="宋体"/>
                <w:color w:val="000000"/>
                <w:kern w:val="0"/>
                <w:sz w:val="20"/>
                <w:szCs w:val="20"/>
                <w:lang w:bidi="ar"/>
              </w:rPr>
              <w:t>×100mm范围内）。</w:t>
            </w:r>
          </w:p>
          <w:p w14:paraId="0FD278B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4.加热元件：至少8根U型加热管安装在加热平台内部，上下平台至少各4根，每根加热管功率不小于450W。</w:t>
            </w:r>
          </w:p>
          <w:p w14:paraId="186E651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5.两个精密的温控系统分别控制两个加热平台，最高可设置30段升降温程序，控温精度为±5℃，500℃恒温时的温度波动为±3℃。</w:t>
            </w:r>
          </w:p>
          <w:p w14:paraId="5E29F8C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6.温控系统采用PID方式进行温度调节，并带有过热和断偶保护，具备超温警示功能。</w:t>
            </w:r>
          </w:p>
          <w:p w14:paraId="0B3AC690">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7.连续工作温度≥700℃。</w:t>
            </w:r>
          </w:p>
          <w:p w14:paraId="68E03FFA">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8.推荐升温速率：5℃/min。</w:t>
            </w:r>
          </w:p>
          <w:p w14:paraId="7E03467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9.上部丝杠可移动距离至少：40mm。</w:t>
            </w:r>
          </w:p>
          <w:p w14:paraId="5EB32B9B">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10.压力显示范围至少包括：1.00kg-5000.00kg。</w:t>
            </w:r>
          </w:p>
          <w:p w14:paraId="1A9CB43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11.压力控制范围至少包括：30kg-5000kg。</w:t>
            </w:r>
          </w:p>
          <w:p w14:paraId="08B9C8A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12.保压时间至少包括：1min-9999min。</w:t>
            </w:r>
          </w:p>
          <w:p w14:paraId="5A540E2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13.设备需配置冷水机，满足配套使用。</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0CE2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2A1E3">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0C43424C">
        <w:tblPrEx>
          <w:tblCellMar>
            <w:top w:w="0" w:type="dxa"/>
            <w:left w:w="108" w:type="dxa"/>
            <w:bottom w:w="0" w:type="dxa"/>
            <w:right w:w="108" w:type="dxa"/>
          </w:tblCellMar>
        </w:tblPrEx>
        <w:trPr>
          <w:trHeight w:val="996"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FE91F">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27</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F0E86">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高效振实融合包覆机</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190CF05E">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1.电机功率：≥5.5kW。</w:t>
            </w:r>
          </w:p>
          <w:p w14:paraId="206DF6C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2.加工时间：通常5min左右，具体视不同物料工艺而定。</w:t>
            </w:r>
          </w:p>
          <w:p w14:paraId="35A105B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3.刀片与桶壁的距离：≥3.5mm。</w:t>
            </w:r>
          </w:p>
          <w:p w14:paraId="7D64F3A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4.主轴转速范围至少包括：3000rpm-6000rpm，且50Hz时为4000rmp。</w:t>
            </w:r>
          </w:p>
          <w:p w14:paraId="24E4340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5.线速度：20</w:t>
            </w:r>
            <w:r>
              <w:rPr>
                <w:rFonts w:ascii="Times New Roman" w:hAnsi="Times New Roman" w:eastAsia="宋体" w:cs="Times New Roman"/>
              </w:rPr>
              <w:t xml:space="preserve"> </w:t>
            </w:r>
            <w:r>
              <w:rPr>
                <w:rFonts w:ascii="宋体" w:hAnsi="宋体" w:eastAsia="宋体" w:cs="宋体"/>
                <w:color w:val="000000"/>
                <w:kern w:val="0"/>
                <w:sz w:val="20"/>
                <w:szCs w:val="20"/>
                <w:lang w:bidi="ar"/>
              </w:rPr>
              <w:t>m/s</w:t>
            </w:r>
            <w:r>
              <w:rPr>
                <w:rFonts w:hint="eastAsia" w:ascii="宋体" w:hAnsi="宋体" w:eastAsia="宋体" w:cs="宋体"/>
                <w:color w:val="000000"/>
                <w:kern w:val="0"/>
                <w:sz w:val="20"/>
                <w:szCs w:val="20"/>
                <w:lang w:bidi="ar"/>
              </w:rPr>
              <w:t>-25m/s(50Hz时为25m/s)。</w:t>
            </w:r>
          </w:p>
          <w:p w14:paraId="61AC827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6.刀片直径：Φ123mm。</w:t>
            </w:r>
          </w:p>
          <w:p w14:paraId="32155F6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7.出料形式：手动出料。</w:t>
            </w:r>
          </w:p>
          <w:p w14:paraId="78FAB6C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8.研磨桶总容积：≥3L。（参考数据：φ130mm×230mm）</w:t>
            </w:r>
          </w:p>
          <w:p w14:paraId="4542FCD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9.标准加料量：0.3L。</w:t>
            </w:r>
          </w:p>
          <w:p w14:paraId="35EB547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10.冷却水流量：≥7L/min。</w:t>
            </w:r>
          </w:p>
          <w:p w14:paraId="2014638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11.冷却水温度：5℃-8℃(视实际生产情况和传热系统配置)。</w:t>
            </w:r>
          </w:p>
          <w:p w14:paraId="493BD78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12.冷却水压力：≥0.1Mpa。</w:t>
            </w:r>
          </w:p>
          <w:p w14:paraId="17C88F4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13.冷却水进出水口：3分。</w:t>
            </w:r>
          </w:p>
          <w:p w14:paraId="042CFE2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14.机架：可采用高强度碳钢机架与不锈钢罩壳相结合。</w:t>
            </w:r>
          </w:p>
          <w:p w14:paraId="4D1E8E2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15.传动及轴承、轴承座 ：多楔带轮。</w:t>
            </w:r>
          </w:p>
          <w:p w14:paraId="283F8D2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16.主轴气封：主轴与轴承座间密封采用气封结构，采用空气或惰性气体，气体压力≤1kg/m³。</w:t>
            </w:r>
          </w:p>
          <w:p w14:paraId="291648F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17电机类型：非防爆。</w:t>
            </w:r>
          </w:p>
          <w:p w14:paraId="56F8F52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18.研磨腔主体：主体为不低于304不锈钢材质，精加工，带水冷却隔套，采用快卡连接，磨腔上带有φ53进料口和出料口。</w:t>
            </w:r>
          </w:p>
          <w:p w14:paraId="27E0D9F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19.桶体材质：内桶、外桶须采用不低于304不锈钢材质。</w:t>
            </w:r>
          </w:p>
          <w:p w14:paraId="7815BC0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20.刀片：材质304不锈钢+喷涂碳化钨。21.冷却系统：桶体、桶盖、轴承装置均有冷却系统。</w:t>
            </w:r>
          </w:p>
          <w:p w14:paraId="74DC463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22.导杆：配有导向杆。</w:t>
            </w:r>
          </w:p>
          <w:p w14:paraId="417DAF3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23.喷涂碳化钨：包括但不限于桶体内壁、盖板与桶盖、刀片均需喷涂碳化钨。</w:t>
            </w:r>
          </w:p>
          <w:p w14:paraId="0DB80D6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24.氮气保护口：1个。</w:t>
            </w:r>
          </w:p>
          <w:p w14:paraId="68E7E1C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25.备件：油封，O型圈，出料收集袋。</w:t>
            </w:r>
          </w:p>
          <w:p w14:paraId="22CD0DD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26.配套冷冻机1台，输入总功率不小于2.18kW,制冷量不小于5.17kW。</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9EC8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463B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066F3C6A">
        <w:tblPrEx>
          <w:tblCellMar>
            <w:top w:w="0" w:type="dxa"/>
            <w:left w:w="108" w:type="dxa"/>
            <w:bottom w:w="0" w:type="dxa"/>
            <w:right w:w="108" w:type="dxa"/>
          </w:tblCellMar>
        </w:tblPrEx>
        <w:trPr>
          <w:trHeight w:val="1109"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32206">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28</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CED71">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特制大容量（5L）惰性气体保护粉碎机</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153DB071">
            <w:pPr>
              <w:keepNext w:val="0"/>
              <w:keepLines w:val="0"/>
              <w:widowControl/>
              <w:spacing w:line="360" w:lineRule="atLeast"/>
              <w:jc w:val="both"/>
              <w:outlineLvl w:val="1"/>
              <w:rPr>
                <w:rFonts w:ascii="Arial" w:hAnsi="Arial" w:eastAsia="宋体" w:cs="Times New Roman"/>
                <w:b w:val="0"/>
                <w:bCs w:val="0"/>
                <w:color w:val="000000"/>
                <w:kern w:val="2"/>
                <w:sz w:val="20"/>
                <w:szCs w:val="20"/>
                <w:lang w:val="en-US" w:eastAsia="zh-CN" w:bidi="ar-SA"/>
              </w:rPr>
            </w:pPr>
            <w:r>
              <w:rPr>
                <w:rFonts w:hint="eastAsia" w:ascii="宋体" w:hAnsi="宋体" w:eastAsia="宋体" w:cs="宋体"/>
                <w:b w:val="0"/>
                <w:bCs w:val="0"/>
                <w:color w:val="000000"/>
                <w:kern w:val="0"/>
                <w:sz w:val="20"/>
                <w:szCs w:val="20"/>
                <w:lang w:val="en-US" w:eastAsia="zh-CN" w:bidi="ar"/>
              </w:rPr>
              <w:t>1.可</w:t>
            </w:r>
            <w:r>
              <w:rPr>
                <w:rFonts w:hint="eastAsia" w:ascii="Arial" w:hAnsi="Arial" w:eastAsia="宋体" w:cs="Times New Roman"/>
                <w:b w:val="0"/>
                <w:bCs w:val="0"/>
                <w:color w:val="000000"/>
                <w:kern w:val="2"/>
                <w:sz w:val="20"/>
                <w:szCs w:val="20"/>
                <w:lang w:val="en-US" w:eastAsia="zh-CN" w:bidi="ar-SA"/>
              </w:rPr>
              <w:t>粉碎</w:t>
            </w:r>
            <w:r>
              <w:rPr>
                <w:rFonts w:ascii="Arial" w:hAnsi="Arial" w:eastAsia="宋体" w:cs="Times New Roman"/>
                <w:b w:val="0"/>
                <w:bCs w:val="0"/>
                <w:color w:val="000000"/>
                <w:kern w:val="2"/>
                <w:sz w:val="20"/>
                <w:szCs w:val="20"/>
                <w:lang w:val="en-US" w:eastAsia="zh-CN" w:bidi="ar-SA"/>
              </w:rPr>
              <w:t>原料</w:t>
            </w:r>
            <w:r>
              <w:rPr>
                <w:rFonts w:hint="eastAsia" w:ascii="Arial" w:hAnsi="Arial" w:eastAsia="宋体" w:cs="Times New Roman"/>
                <w:b w:val="0"/>
                <w:bCs w:val="0"/>
                <w:color w:val="000000"/>
                <w:kern w:val="2"/>
                <w:sz w:val="20"/>
                <w:szCs w:val="20"/>
                <w:lang w:val="en-US" w:eastAsia="zh-CN" w:bidi="ar-SA"/>
              </w:rPr>
              <w:t>参数</w:t>
            </w:r>
          </w:p>
          <w:p w14:paraId="7AA68EDA">
            <w:pPr>
              <w:widowControl/>
              <w:spacing w:line="360" w:lineRule="atLeast"/>
              <w:jc w:val="left"/>
              <w:rPr>
                <w:rFonts w:hint="eastAsia" w:ascii="宋体" w:hAnsi="宋体" w:eastAsia="宋体" w:cs="宋体"/>
                <w:color w:val="000000"/>
                <w:kern w:val="0"/>
                <w:sz w:val="20"/>
                <w:szCs w:val="20"/>
                <w:lang w:bidi="ar"/>
              </w:rPr>
            </w:pPr>
            <w:r>
              <w:rPr>
                <w:rFonts w:ascii="宋体" w:hAnsi="宋体" w:eastAsia="宋体" w:cs="宋体"/>
                <w:color w:val="000000"/>
                <w:kern w:val="0"/>
                <w:sz w:val="20"/>
                <w:szCs w:val="20"/>
                <w:lang w:bidi="ar"/>
              </w:rPr>
              <w:t>1.1 原料名称：硫化物 (固态电池材料)</w:t>
            </w:r>
            <w:r>
              <w:rPr>
                <w:rFonts w:hint="eastAsia" w:ascii="宋体" w:hAnsi="宋体" w:eastAsia="宋体" w:cs="宋体"/>
                <w:color w:val="000000"/>
                <w:kern w:val="0"/>
                <w:sz w:val="20"/>
                <w:szCs w:val="20"/>
                <w:lang w:bidi="ar"/>
              </w:rPr>
              <w:t>。</w:t>
            </w:r>
          </w:p>
          <w:p w14:paraId="62C33D0D">
            <w:pPr>
              <w:widowControl/>
              <w:spacing w:line="360" w:lineRule="atLeast"/>
              <w:jc w:val="left"/>
              <w:rPr>
                <w:rFonts w:hint="eastAsia" w:ascii="宋体" w:hAnsi="宋体" w:eastAsia="宋体" w:cs="宋体"/>
                <w:color w:val="000000"/>
                <w:kern w:val="0"/>
                <w:sz w:val="20"/>
                <w:szCs w:val="20"/>
                <w:lang w:bidi="ar"/>
              </w:rPr>
            </w:pPr>
            <w:r>
              <w:rPr>
                <w:rFonts w:ascii="宋体" w:hAnsi="宋体" w:eastAsia="宋体" w:cs="宋体"/>
                <w:color w:val="000000"/>
                <w:kern w:val="0"/>
                <w:sz w:val="20"/>
                <w:szCs w:val="20"/>
                <w:lang w:bidi="ar"/>
              </w:rPr>
              <w:t>1.2 原料粒度：</w:t>
            </w:r>
            <w:r>
              <w:rPr>
                <w:rFonts w:hint="eastAsia" w:ascii="宋体" w:hAnsi="宋体" w:eastAsia="宋体" w:cs="宋体"/>
                <w:color w:val="000000"/>
                <w:kern w:val="0"/>
                <w:sz w:val="20"/>
                <w:szCs w:val="20"/>
                <w:lang w:bidi="ar"/>
              </w:rPr>
              <w:t>≥</w:t>
            </w:r>
            <w:r>
              <w:rPr>
                <w:rFonts w:ascii="宋体" w:hAnsi="宋体" w:eastAsia="宋体" w:cs="宋体"/>
                <w:color w:val="000000"/>
                <w:kern w:val="0"/>
                <w:sz w:val="20"/>
                <w:szCs w:val="20"/>
                <w:lang w:bidi="ar"/>
              </w:rPr>
              <w:t>150 μm</w:t>
            </w:r>
            <w:r>
              <w:rPr>
                <w:rFonts w:hint="eastAsia" w:ascii="宋体" w:hAnsi="宋体" w:eastAsia="宋体" w:cs="宋体"/>
                <w:color w:val="000000"/>
                <w:kern w:val="0"/>
                <w:sz w:val="20"/>
                <w:szCs w:val="20"/>
                <w:lang w:bidi="ar"/>
              </w:rPr>
              <w:t>。</w:t>
            </w:r>
          </w:p>
          <w:p w14:paraId="7709FF4D">
            <w:pPr>
              <w:widowControl/>
              <w:spacing w:line="360" w:lineRule="atLeast"/>
              <w:jc w:val="left"/>
              <w:rPr>
                <w:rFonts w:hint="eastAsia" w:ascii="宋体" w:hAnsi="宋体" w:eastAsia="宋体" w:cs="宋体"/>
                <w:color w:val="000000"/>
                <w:kern w:val="0"/>
                <w:sz w:val="20"/>
                <w:szCs w:val="20"/>
                <w:lang w:bidi="ar"/>
              </w:rPr>
            </w:pPr>
            <w:r>
              <w:rPr>
                <w:rFonts w:ascii="宋体" w:hAnsi="宋体" w:eastAsia="宋体" w:cs="宋体"/>
                <w:color w:val="000000"/>
                <w:kern w:val="0"/>
                <w:sz w:val="20"/>
                <w:szCs w:val="20"/>
                <w:lang w:bidi="ar"/>
              </w:rPr>
              <w:t>1.3 成品粒度：D50：0.5μm-1μm（区间范围 0.5μm-74 μm 可调，粗细可调）</w:t>
            </w:r>
            <w:r>
              <w:rPr>
                <w:rFonts w:hint="eastAsia" w:ascii="宋体" w:hAnsi="宋体" w:eastAsia="宋体" w:cs="宋体"/>
                <w:color w:val="000000"/>
                <w:kern w:val="0"/>
                <w:sz w:val="20"/>
                <w:szCs w:val="20"/>
                <w:lang w:bidi="ar"/>
              </w:rPr>
              <w:t>。</w:t>
            </w:r>
          </w:p>
          <w:p w14:paraId="5594162C">
            <w:pPr>
              <w:widowControl/>
              <w:spacing w:line="360" w:lineRule="atLeast"/>
              <w:jc w:val="left"/>
              <w:rPr>
                <w:rFonts w:hint="eastAsia" w:ascii="宋体" w:hAnsi="宋体" w:eastAsia="宋体" w:cs="宋体"/>
                <w:color w:val="000000"/>
                <w:kern w:val="0"/>
                <w:sz w:val="20"/>
                <w:szCs w:val="20"/>
                <w:lang w:bidi="ar"/>
              </w:rPr>
            </w:pPr>
            <w:r>
              <w:rPr>
                <w:rFonts w:ascii="宋体" w:hAnsi="宋体" w:eastAsia="宋体" w:cs="宋体"/>
                <w:color w:val="000000"/>
                <w:kern w:val="0"/>
                <w:sz w:val="20"/>
                <w:szCs w:val="20"/>
                <w:lang w:bidi="ar"/>
              </w:rPr>
              <w:t>1.4 投料量：≥0.2kg/h-2kg/h（不同物料粒度越细产量越低）</w:t>
            </w:r>
            <w:r>
              <w:rPr>
                <w:rFonts w:hint="eastAsia" w:ascii="宋体" w:hAnsi="宋体" w:eastAsia="宋体" w:cs="宋体"/>
                <w:color w:val="000000"/>
                <w:kern w:val="0"/>
                <w:sz w:val="20"/>
                <w:szCs w:val="20"/>
                <w:lang w:bidi="ar"/>
              </w:rPr>
              <w:t>。</w:t>
            </w:r>
            <w:r>
              <w:rPr>
                <w:rFonts w:ascii="宋体" w:hAnsi="宋体" w:eastAsia="宋体" w:cs="宋体"/>
                <w:color w:val="000000"/>
                <w:kern w:val="0"/>
                <w:sz w:val="20"/>
                <w:szCs w:val="20"/>
                <w:lang w:bidi="ar"/>
              </w:rPr>
              <w:t xml:space="preserve"> </w:t>
            </w:r>
          </w:p>
          <w:p w14:paraId="2D2370B9">
            <w:pPr>
              <w:widowControl/>
              <w:spacing w:line="360" w:lineRule="atLeast"/>
              <w:jc w:val="left"/>
              <w:rPr>
                <w:rFonts w:hint="eastAsia" w:ascii="宋体" w:hAnsi="宋体" w:eastAsia="宋体" w:cs="宋体"/>
                <w:color w:val="000000"/>
                <w:kern w:val="0"/>
                <w:sz w:val="20"/>
                <w:szCs w:val="20"/>
                <w:lang w:bidi="ar"/>
              </w:rPr>
            </w:pPr>
            <w:r>
              <w:rPr>
                <w:rFonts w:ascii="宋体" w:hAnsi="宋体" w:eastAsia="宋体" w:cs="宋体"/>
                <w:color w:val="000000"/>
                <w:kern w:val="0"/>
                <w:sz w:val="20"/>
                <w:szCs w:val="20"/>
                <w:lang w:bidi="ar"/>
              </w:rPr>
              <w:t>1.5 物料磁性增量≤20ppb</w:t>
            </w:r>
            <w:r>
              <w:rPr>
                <w:rFonts w:hint="eastAsia" w:ascii="宋体" w:hAnsi="宋体" w:eastAsia="宋体" w:cs="宋体"/>
                <w:color w:val="000000"/>
                <w:kern w:val="0"/>
                <w:sz w:val="20"/>
                <w:szCs w:val="20"/>
                <w:lang w:bidi="ar"/>
              </w:rPr>
              <w:t>。</w:t>
            </w:r>
          </w:p>
          <w:p w14:paraId="43A841C6">
            <w:pPr>
              <w:keepNext w:val="0"/>
              <w:keepLines w:val="0"/>
              <w:widowControl/>
              <w:spacing w:line="360" w:lineRule="atLeast"/>
              <w:jc w:val="both"/>
              <w:outlineLvl w:val="1"/>
              <w:rPr>
                <w:rFonts w:ascii="Arial" w:hAnsi="Arial" w:eastAsia="宋体" w:cs="Times New Roman"/>
                <w:b w:val="0"/>
                <w:bCs w:val="0"/>
                <w:color w:val="000000"/>
                <w:kern w:val="2"/>
                <w:sz w:val="20"/>
                <w:szCs w:val="20"/>
                <w:lang w:val="en-US" w:eastAsia="zh-CN" w:bidi="ar-SA"/>
              </w:rPr>
            </w:pPr>
            <w:r>
              <w:rPr>
                <w:rFonts w:hint="eastAsia" w:ascii="宋体" w:hAnsi="宋体" w:eastAsia="宋体" w:cs="宋体"/>
                <w:b w:val="0"/>
                <w:bCs w:val="0"/>
                <w:color w:val="000000"/>
                <w:kern w:val="0"/>
                <w:sz w:val="20"/>
                <w:szCs w:val="20"/>
                <w:lang w:val="en-US" w:eastAsia="zh-CN" w:bidi="ar"/>
              </w:rPr>
              <w:t>2.</w:t>
            </w:r>
            <w:r>
              <w:rPr>
                <w:rFonts w:ascii="宋体" w:hAnsi="宋体" w:eastAsia="宋体" w:cs="宋体"/>
                <w:b w:val="0"/>
                <w:bCs w:val="0"/>
                <w:color w:val="000000"/>
                <w:kern w:val="0"/>
                <w:sz w:val="20"/>
                <w:szCs w:val="20"/>
                <w:lang w:val="en-US" w:eastAsia="zh-CN" w:bidi="ar"/>
              </w:rPr>
              <w:t>设</w:t>
            </w:r>
            <w:r>
              <w:rPr>
                <w:rFonts w:ascii="Arial" w:hAnsi="Arial" w:eastAsia="宋体" w:cs="Times New Roman"/>
                <w:b w:val="0"/>
                <w:bCs w:val="0"/>
                <w:color w:val="000000"/>
                <w:kern w:val="2"/>
                <w:sz w:val="20"/>
                <w:szCs w:val="20"/>
                <w:lang w:val="en-US" w:eastAsia="zh-CN" w:bidi="ar-SA"/>
              </w:rPr>
              <w:t>备技术要求</w:t>
            </w:r>
          </w:p>
          <w:p w14:paraId="28F0173B">
            <w:pPr>
              <w:widowControl/>
              <w:spacing w:line="360" w:lineRule="atLeast"/>
              <w:jc w:val="left"/>
              <w:rPr>
                <w:rFonts w:hint="eastAsia" w:ascii="宋体" w:hAnsi="宋体" w:eastAsia="宋体" w:cs="宋体"/>
                <w:color w:val="000000"/>
                <w:kern w:val="0"/>
                <w:sz w:val="20"/>
                <w:szCs w:val="20"/>
                <w:lang w:bidi="ar"/>
              </w:rPr>
            </w:pPr>
            <w:r>
              <w:rPr>
                <w:rFonts w:ascii="宋体" w:hAnsi="宋体" w:eastAsia="宋体" w:cs="宋体"/>
                <w:color w:val="000000"/>
                <w:kern w:val="0"/>
                <w:sz w:val="20"/>
                <w:szCs w:val="20"/>
                <w:lang w:bidi="ar"/>
              </w:rPr>
              <w:t>2.1 类型：</w:t>
            </w:r>
            <w:r>
              <w:rPr>
                <w:rFonts w:hint="eastAsia" w:ascii="宋体" w:hAnsi="宋体" w:eastAsia="宋体" w:cs="宋体"/>
                <w:color w:val="000000"/>
                <w:kern w:val="0"/>
                <w:sz w:val="20"/>
                <w:szCs w:val="20"/>
                <w:lang w:bidi="ar"/>
              </w:rPr>
              <w:t>密闭式多功能</w:t>
            </w:r>
            <w:r>
              <w:rPr>
                <w:rFonts w:ascii="宋体" w:hAnsi="宋体" w:eastAsia="宋体" w:cs="宋体"/>
                <w:color w:val="000000"/>
                <w:kern w:val="0"/>
                <w:sz w:val="20"/>
                <w:szCs w:val="20"/>
                <w:lang w:bidi="ar"/>
              </w:rPr>
              <w:t>粉碎机</w:t>
            </w:r>
            <w:r>
              <w:rPr>
                <w:rFonts w:hint="eastAsia" w:ascii="宋体" w:hAnsi="宋体" w:eastAsia="宋体" w:cs="宋体"/>
                <w:color w:val="000000"/>
                <w:kern w:val="0"/>
                <w:sz w:val="20"/>
                <w:szCs w:val="20"/>
                <w:lang w:bidi="ar"/>
              </w:rPr>
              <w:t>。</w:t>
            </w:r>
            <w:r>
              <w:rPr>
                <w:rFonts w:ascii="宋体" w:hAnsi="宋体" w:eastAsia="宋体" w:cs="宋体"/>
                <w:color w:val="000000"/>
                <w:kern w:val="0"/>
                <w:sz w:val="20"/>
                <w:szCs w:val="20"/>
                <w:lang w:bidi="ar"/>
              </w:rPr>
              <w:t xml:space="preserve"> </w:t>
            </w:r>
          </w:p>
          <w:p w14:paraId="1DB80528">
            <w:pPr>
              <w:widowControl/>
              <w:spacing w:line="360" w:lineRule="atLeast"/>
              <w:jc w:val="left"/>
              <w:rPr>
                <w:rFonts w:hint="eastAsia" w:ascii="宋体" w:hAnsi="宋体" w:eastAsia="宋体" w:cs="宋体"/>
                <w:color w:val="000000"/>
                <w:kern w:val="0"/>
                <w:sz w:val="20"/>
                <w:szCs w:val="20"/>
                <w:lang w:bidi="ar"/>
              </w:rPr>
            </w:pPr>
            <w:r>
              <w:rPr>
                <w:rFonts w:ascii="宋体" w:hAnsi="宋体" w:eastAsia="宋体" w:cs="宋体"/>
                <w:color w:val="000000"/>
                <w:kern w:val="0"/>
                <w:sz w:val="20"/>
                <w:szCs w:val="20"/>
                <w:lang w:bidi="ar"/>
              </w:rPr>
              <w:t>2.2 工作气源：</w:t>
            </w:r>
            <w:r>
              <w:rPr>
                <w:rFonts w:hint="eastAsia" w:ascii="宋体" w:hAnsi="宋体" w:eastAsia="宋体" w:cs="宋体"/>
                <w:color w:val="000000"/>
                <w:kern w:val="0"/>
                <w:sz w:val="20"/>
                <w:szCs w:val="20"/>
                <w:lang w:bidi="ar"/>
              </w:rPr>
              <w:t>氮气</w:t>
            </w:r>
            <w:r>
              <w:rPr>
                <w:rFonts w:ascii="宋体" w:hAnsi="宋体" w:eastAsia="宋体" w:cs="宋体"/>
                <w:color w:val="000000"/>
                <w:kern w:val="0"/>
                <w:sz w:val="20"/>
                <w:szCs w:val="20"/>
                <w:lang w:bidi="ar"/>
              </w:rPr>
              <w:t>：</w:t>
            </w:r>
            <w:r>
              <w:rPr>
                <w:rFonts w:hint="eastAsia" w:ascii="宋体" w:hAnsi="宋体" w:eastAsia="宋体" w:cs="宋体"/>
                <w:color w:val="000000"/>
                <w:kern w:val="0"/>
                <w:sz w:val="20"/>
                <w:szCs w:val="20"/>
                <w:lang w:bidi="ar"/>
              </w:rPr>
              <w:t>≥</w:t>
            </w:r>
            <w:r>
              <w:rPr>
                <w:rFonts w:ascii="宋体" w:hAnsi="宋体" w:eastAsia="宋体" w:cs="宋体"/>
                <w:color w:val="000000"/>
                <w:kern w:val="0"/>
                <w:sz w:val="20"/>
                <w:szCs w:val="20"/>
                <w:lang w:bidi="ar"/>
              </w:rPr>
              <w:t>1.5MPa、耗气量</w:t>
            </w:r>
            <w:r>
              <w:rPr>
                <w:rFonts w:hint="eastAsia" w:ascii="宋体" w:hAnsi="宋体" w:eastAsia="宋体" w:cs="宋体"/>
                <w:color w:val="000000"/>
                <w:kern w:val="0"/>
                <w:sz w:val="20"/>
                <w:szCs w:val="20"/>
                <w:lang w:bidi="ar"/>
              </w:rPr>
              <w:t>≤100</w:t>
            </w:r>
            <w:r>
              <w:rPr>
                <w:rFonts w:hint="eastAsia" w:ascii="CIDFont+F1" w:hAnsi="CIDFont+F1" w:eastAsia="CIDFont+F1" w:cs="Times New Roman"/>
                <w:color w:val="000000"/>
                <w:sz w:val="20"/>
                <w:szCs w:val="20"/>
              </w:rPr>
              <w:t>Nm³/h</w:t>
            </w:r>
            <w:r>
              <w:rPr>
                <w:rFonts w:hint="eastAsia" w:ascii="宋体" w:hAnsi="宋体" w:eastAsia="宋体" w:cs="宋体"/>
                <w:color w:val="000000"/>
                <w:kern w:val="0"/>
                <w:sz w:val="20"/>
                <w:szCs w:val="20"/>
                <w:lang w:bidi="ar"/>
              </w:rPr>
              <w:t>。</w:t>
            </w:r>
            <w:r>
              <w:rPr>
                <w:rFonts w:ascii="宋体" w:hAnsi="宋体" w:eastAsia="宋体" w:cs="宋体"/>
                <w:color w:val="000000"/>
                <w:kern w:val="0"/>
                <w:sz w:val="20"/>
                <w:szCs w:val="20"/>
                <w:lang w:bidi="ar"/>
              </w:rPr>
              <w:t xml:space="preserve">  </w:t>
            </w:r>
          </w:p>
          <w:p w14:paraId="37AA9763">
            <w:pPr>
              <w:widowControl/>
              <w:spacing w:line="360" w:lineRule="atLeast"/>
              <w:jc w:val="left"/>
              <w:rPr>
                <w:rFonts w:hint="eastAsia" w:ascii="宋体" w:hAnsi="宋体" w:eastAsia="宋体" w:cs="宋体"/>
                <w:color w:val="000000"/>
                <w:kern w:val="0"/>
                <w:sz w:val="20"/>
                <w:szCs w:val="20"/>
                <w:lang w:bidi="ar"/>
              </w:rPr>
            </w:pPr>
            <w:r>
              <w:rPr>
                <w:rFonts w:ascii="宋体" w:hAnsi="宋体" w:eastAsia="宋体" w:cs="宋体"/>
                <w:color w:val="000000"/>
                <w:kern w:val="0"/>
                <w:sz w:val="20"/>
                <w:szCs w:val="20"/>
                <w:lang w:bidi="ar"/>
              </w:rPr>
              <w:t>2.</w:t>
            </w:r>
            <w:r>
              <w:rPr>
                <w:rFonts w:hint="eastAsia" w:ascii="宋体" w:hAnsi="宋体" w:eastAsia="宋体" w:cs="宋体"/>
                <w:color w:val="000000"/>
                <w:kern w:val="0"/>
                <w:sz w:val="20"/>
                <w:szCs w:val="20"/>
                <w:lang w:bidi="ar"/>
              </w:rPr>
              <w:t>3</w:t>
            </w:r>
            <w:r>
              <w:rPr>
                <w:rFonts w:ascii="宋体" w:hAnsi="宋体" w:eastAsia="宋体" w:cs="宋体"/>
                <w:color w:val="000000"/>
                <w:kern w:val="0"/>
                <w:sz w:val="20"/>
                <w:szCs w:val="20"/>
                <w:lang w:bidi="ar"/>
              </w:rPr>
              <w:t xml:space="preserve"> 结构组成及配置</w:t>
            </w:r>
            <w:r>
              <w:rPr>
                <w:rFonts w:hint="eastAsia" w:ascii="宋体" w:hAnsi="宋体" w:eastAsia="宋体" w:cs="宋体"/>
                <w:color w:val="000000"/>
                <w:kern w:val="0"/>
                <w:sz w:val="20"/>
                <w:szCs w:val="20"/>
                <w:lang w:bidi="ar"/>
              </w:rPr>
              <w:t>包括但不限于集成平台</w:t>
            </w:r>
            <w:r>
              <w:rPr>
                <w:rFonts w:ascii="宋体" w:hAnsi="宋体" w:eastAsia="宋体" w:cs="宋体"/>
                <w:color w:val="000000"/>
                <w:kern w:val="0"/>
                <w:sz w:val="20"/>
                <w:szCs w:val="20"/>
                <w:lang w:bidi="ar"/>
              </w:rPr>
              <w:t>、</w:t>
            </w:r>
            <w:r>
              <w:rPr>
                <w:rFonts w:hint="eastAsia" w:ascii="宋体" w:hAnsi="宋体" w:eastAsia="宋体" w:cs="宋体"/>
                <w:color w:val="000000"/>
                <w:kern w:val="0"/>
                <w:sz w:val="20"/>
                <w:szCs w:val="20"/>
                <w:lang w:bidi="ar"/>
              </w:rPr>
              <w:t>喂料模块</w:t>
            </w:r>
            <w:r>
              <w:rPr>
                <w:rFonts w:ascii="宋体" w:hAnsi="宋体" w:eastAsia="宋体" w:cs="宋体"/>
                <w:color w:val="000000"/>
                <w:kern w:val="0"/>
                <w:sz w:val="20"/>
                <w:szCs w:val="20"/>
                <w:lang w:bidi="ar"/>
              </w:rPr>
              <w:t>、</w:t>
            </w:r>
            <w:r>
              <w:rPr>
                <w:rFonts w:hint="eastAsia" w:ascii="宋体" w:hAnsi="宋体" w:eastAsia="宋体" w:cs="宋体"/>
                <w:color w:val="000000"/>
                <w:kern w:val="0"/>
                <w:sz w:val="20"/>
                <w:szCs w:val="20"/>
                <w:lang w:bidi="ar"/>
              </w:rPr>
              <w:t>气流</w:t>
            </w:r>
            <w:r>
              <w:rPr>
                <w:rFonts w:ascii="宋体" w:hAnsi="宋体" w:eastAsia="宋体" w:cs="宋体"/>
                <w:color w:val="000000"/>
                <w:kern w:val="0"/>
                <w:sz w:val="20"/>
                <w:szCs w:val="20"/>
                <w:lang w:bidi="ar"/>
              </w:rPr>
              <w:t>粉碎</w:t>
            </w:r>
            <w:r>
              <w:rPr>
                <w:rFonts w:hint="eastAsia" w:ascii="宋体" w:hAnsi="宋体" w:eastAsia="宋体" w:cs="宋体"/>
                <w:color w:val="000000"/>
                <w:kern w:val="0"/>
                <w:sz w:val="20"/>
                <w:szCs w:val="20"/>
                <w:lang w:bidi="ar"/>
              </w:rPr>
              <w:t>模块</w:t>
            </w:r>
            <w:r>
              <w:rPr>
                <w:rFonts w:ascii="宋体" w:hAnsi="宋体" w:eastAsia="宋体" w:cs="宋体"/>
                <w:color w:val="000000"/>
                <w:kern w:val="0"/>
                <w:sz w:val="20"/>
                <w:szCs w:val="20"/>
                <w:lang w:bidi="ar"/>
              </w:rPr>
              <w:t>、</w:t>
            </w:r>
            <w:r>
              <w:rPr>
                <w:rFonts w:hint="eastAsia" w:ascii="宋体" w:hAnsi="宋体" w:eastAsia="宋体" w:cs="宋体"/>
                <w:color w:val="000000"/>
                <w:kern w:val="0"/>
                <w:sz w:val="20"/>
                <w:szCs w:val="20"/>
                <w:lang w:bidi="ar"/>
              </w:rPr>
              <w:t>销棒粉碎模块</w:t>
            </w:r>
            <w:r>
              <w:rPr>
                <w:rFonts w:ascii="宋体" w:hAnsi="宋体" w:eastAsia="宋体" w:cs="宋体"/>
                <w:color w:val="000000"/>
                <w:kern w:val="0"/>
                <w:sz w:val="20"/>
                <w:szCs w:val="20"/>
                <w:lang w:bidi="ar"/>
              </w:rPr>
              <w:t>、</w:t>
            </w:r>
            <w:r>
              <w:rPr>
                <w:rFonts w:hint="eastAsia" w:ascii="宋体" w:hAnsi="宋体" w:eastAsia="宋体" w:cs="宋体"/>
                <w:color w:val="000000"/>
                <w:kern w:val="0"/>
                <w:sz w:val="20"/>
                <w:szCs w:val="20"/>
                <w:lang w:bidi="ar"/>
              </w:rPr>
              <w:t>收料模块</w:t>
            </w:r>
            <w:r>
              <w:rPr>
                <w:rFonts w:ascii="宋体" w:hAnsi="宋体" w:eastAsia="宋体" w:cs="宋体"/>
                <w:color w:val="000000"/>
                <w:kern w:val="0"/>
                <w:sz w:val="20"/>
                <w:szCs w:val="20"/>
                <w:lang w:bidi="ar"/>
              </w:rPr>
              <w:t>、</w:t>
            </w:r>
            <w:r>
              <w:rPr>
                <w:rFonts w:hint="eastAsia" w:ascii="宋体" w:hAnsi="宋体" w:eastAsia="宋体" w:cs="宋体"/>
                <w:color w:val="000000"/>
                <w:kern w:val="0"/>
                <w:sz w:val="20"/>
                <w:szCs w:val="20"/>
                <w:lang w:bidi="ar"/>
              </w:rPr>
              <w:t>电气仪表</w:t>
            </w:r>
            <w:r>
              <w:rPr>
                <w:rFonts w:ascii="宋体" w:hAnsi="宋体" w:eastAsia="宋体" w:cs="宋体"/>
                <w:color w:val="000000"/>
                <w:kern w:val="0"/>
                <w:sz w:val="20"/>
                <w:szCs w:val="20"/>
                <w:lang w:bidi="ar"/>
              </w:rPr>
              <w:t>、</w:t>
            </w:r>
            <w:r>
              <w:rPr>
                <w:rFonts w:hint="eastAsia" w:ascii="宋体" w:hAnsi="宋体" w:eastAsia="宋体" w:cs="宋体"/>
                <w:color w:val="000000"/>
                <w:kern w:val="0"/>
                <w:sz w:val="20"/>
                <w:szCs w:val="20"/>
                <w:lang w:bidi="ar"/>
              </w:rPr>
              <w:t>硬质隔离器、</w:t>
            </w:r>
            <w:r>
              <w:rPr>
                <w:rFonts w:ascii="宋体" w:hAnsi="宋体" w:eastAsia="宋体" w:cs="宋体"/>
                <w:color w:val="000000"/>
                <w:kern w:val="0"/>
                <w:sz w:val="20"/>
                <w:szCs w:val="20"/>
                <w:lang w:bidi="ar"/>
              </w:rPr>
              <w:t>成套电控系统</w:t>
            </w:r>
            <w:r>
              <w:rPr>
                <w:rFonts w:hint="eastAsia" w:ascii="宋体" w:hAnsi="宋体" w:eastAsia="宋体" w:cs="宋体"/>
                <w:color w:val="000000"/>
                <w:kern w:val="0"/>
                <w:sz w:val="20"/>
                <w:szCs w:val="20"/>
                <w:lang w:bidi="ar"/>
              </w:rPr>
              <w:t>的</w:t>
            </w:r>
            <w:r>
              <w:rPr>
                <w:rFonts w:ascii="宋体" w:hAnsi="宋体" w:eastAsia="宋体" w:cs="宋体"/>
                <w:color w:val="000000"/>
                <w:kern w:val="0"/>
                <w:sz w:val="20"/>
                <w:szCs w:val="20"/>
                <w:lang w:bidi="ar"/>
              </w:rPr>
              <w:t>配置</w:t>
            </w:r>
            <w:r>
              <w:rPr>
                <w:rFonts w:hint="eastAsia" w:ascii="宋体" w:hAnsi="宋体" w:eastAsia="宋体" w:cs="宋体"/>
                <w:color w:val="000000"/>
                <w:kern w:val="0"/>
                <w:sz w:val="20"/>
                <w:szCs w:val="20"/>
                <w:lang w:bidi="ar"/>
              </w:rPr>
              <w:t>。</w:t>
            </w:r>
          </w:p>
          <w:p w14:paraId="267E9239">
            <w:pPr>
              <w:widowControl/>
              <w:spacing w:line="360" w:lineRule="atLeast"/>
              <w:jc w:val="left"/>
              <w:rPr>
                <w:rFonts w:hint="eastAsia" w:ascii="宋体" w:hAnsi="宋体" w:eastAsia="宋体" w:cs="宋体"/>
                <w:color w:val="000000"/>
                <w:kern w:val="0"/>
                <w:sz w:val="20"/>
                <w:szCs w:val="20"/>
                <w:lang w:bidi="ar"/>
              </w:rPr>
            </w:pPr>
            <w:r>
              <w:rPr>
                <w:rFonts w:ascii="宋体" w:hAnsi="宋体" w:eastAsia="宋体" w:cs="宋体"/>
                <w:color w:val="000000"/>
                <w:kern w:val="0"/>
                <w:sz w:val="20"/>
                <w:szCs w:val="20"/>
                <w:lang w:bidi="ar"/>
              </w:rPr>
              <w:t>2.</w:t>
            </w:r>
            <w:r>
              <w:rPr>
                <w:rFonts w:hint="eastAsia" w:ascii="宋体" w:hAnsi="宋体" w:eastAsia="宋体" w:cs="宋体"/>
                <w:color w:val="000000"/>
                <w:kern w:val="0"/>
                <w:sz w:val="20"/>
                <w:szCs w:val="20"/>
                <w:lang w:bidi="ar"/>
              </w:rPr>
              <w:t>4</w:t>
            </w:r>
            <w:r>
              <w:rPr>
                <w:rFonts w:ascii="宋体" w:hAnsi="宋体" w:eastAsia="宋体" w:cs="宋体"/>
                <w:color w:val="000000"/>
                <w:kern w:val="0"/>
                <w:sz w:val="20"/>
                <w:szCs w:val="20"/>
                <w:lang w:bidi="ar"/>
              </w:rPr>
              <w:t xml:space="preserve"> 进料：原料匀速给料，变频控制</w:t>
            </w:r>
            <w:r>
              <w:rPr>
                <w:rFonts w:hint="eastAsia" w:ascii="宋体" w:hAnsi="宋体" w:eastAsia="宋体" w:cs="宋体"/>
                <w:color w:val="000000"/>
                <w:kern w:val="0"/>
                <w:sz w:val="20"/>
                <w:szCs w:val="20"/>
                <w:lang w:bidi="ar"/>
              </w:rPr>
              <w:t>。</w:t>
            </w:r>
          </w:p>
          <w:p w14:paraId="60BC65B4">
            <w:pPr>
              <w:widowControl/>
              <w:spacing w:line="360" w:lineRule="atLeast"/>
              <w:jc w:val="left"/>
              <w:rPr>
                <w:rFonts w:hint="eastAsia" w:ascii="宋体" w:hAnsi="宋体" w:eastAsia="宋体" w:cs="宋体"/>
                <w:color w:val="000000"/>
                <w:kern w:val="0"/>
                <w:sz w:val="20"/>
                <w:szCs w:val="20"/>
                <w:lang w:bidi="ar"/>
              </w:rPr>
            </w:pPr>
            <w:r>
              <w:rPr>
                <w:rFonts w:ascii="宋体" w:hAnsi="宋体" w:eastAsia="宋体" w:cs="宋体"/>
                <w:color w:val="000000"/>
                <w:kern w:val="0"/>
                <w:sz w:val="20"/>
                <w:szCs w:val="20"/>
                <w:lang w:bidi="ar"/>
              </w:rPr>
              <w:t>2.</w:t>
            </w:r>
            <w:r>
              <w:rPr>
                <w:rFonts w:hint="eastAsia" w:ascii="宋体" w:hAnsi="宋体" w:eastAsia="宋体" w:cs="宋体"/>
                <w:color w:val="000000"/>
                <w:kern w:val="0"/>
                <w:sz w:val="20"/>
                <w:szCs w:val="20"/>
                <w:lang w:bidi="ar"/>
              </w:rPr>
              <w:t>5</w:t>
            </w:r>
            <w:r>
              <w:rPr>
                <w:rFonts w:ascii="宋体" w:hAnsi="宋体" w:eastAsia="宋体" w:cs="宋体"/>
                <w:color w:val="000000"/>
                <w:kern w:val="0"/>
                <w:sz w:val="20"/>
                <w:szCs w:val="20"/>
                <w:lang w:bidi="ar"/>
              </w:rPr>
              <w:t xml:space="preserve"> 粉碎系统噪音</w:t>
            </w:r>
            <w:r>
              <w:rPr>
                <w:rFonts w:hint="eastAsia" w:ascii="宋体" w:hAnsi="宋体" w:eastAsia="宋体" w:cs="宋体"/>
                <w:color w:val="000000"/>
                <w:kern w:val="0"/>
                <w:sz w:val="20"/>
                <w:szCs w:val="20"/>
                <w:lang w:bidi="ar"/>
              </w:rPr>
              <w:t>：低于</w:t>
            </w:r>
            <w:r>
              <w:rPr>
                <w:rFonts w:ascii="宋体" w:hAnsi="宋体" w:eastAsia="宋体" w:cs="宋体"/>
                <w:color w:val="000000"/>
                <w:kern w:val="0"/>
                <w:sz w:val="20"/>
                <w:szCs w:val="20"/>
                <w:lang w:bidi="ar"/>
              </w:rPr>
              <w:t>85分贝</w:t>
            </w:r>
            <w:r>
              <w:rPr>
                <w:rFonts w:hint="eastAsia" w:ascii="宋体" w:hAnsi="宋体" w:eastAsia="宋体" w:cs="宋体"/>
                <w:color w:val="000000"/>
                <w:kern w:val="0"/>
                <w:sz w:val="20"/>
                <w:szCs w:val="20"/>
                <w:lang w:bidi="ar"/>
              </w:rPr>
              <w:t>。</w:t>
            </w:r>
            <w:r>
              <w:rPr>
                <w:rFonts w:ascii="宋体" w:hAnsi="宋体" w:eastAsia="宋体" w:cs="宋体"/>
                <w:color w:val="000000"/>
                <w:kern w:val="0"/>
                <w:sz w:val="20"/>
                <w:szCs w:val="20"/>
                <w:lang w:bidi="ar"/>
              </w:rPr>
              <w:t xml:space="preserve"> </w:t>
            </w:r>
          </w:p>
          <w:p w14:paraId="369691CB">
            <w:pPr>
              <w:widowControl/>
              <w:spacing w:line="360" w:lineRule="atLeast"/>
              <w:jc w:val="left"/>
              <w:rPr>
                <w:rFonts w:hint="eastAsia" w:ascii="宋体" w:hAnsi="宋体" w:eastAsia="宋体" w:cs="宋体"/>
                <w:color w:val="000000"/>
                <w:kern w:val="0"/>
                <w:sz w:val="20"/>
                <w:szCs w:val="20"/>
                <w:lang w:bidi="ar"/>
              </w:rPr>
            </w:pPr>
            <w:r>
              <w:rPr>
                <w:rFonts w:ascii="宋体" w:hAnsi="宋体" w:eastAsia="宋体" w:cs="宋体"/>
                <w:color w:val="000000"/>
                <w:kern w:val="0"/>
                <w:sz w:val="20"/>
                <w:szCs w:val="20"/>
                <w:lang w:bidi="ar"/>
              </w:rPr>
              <w:t>2.</w:t>
            </w:r>
            <w:r>
              <w:rPr>
                <w:rFonts w:hint="eastAsia" w:ascii="宋体" w:hAnsi="宋体" w:eastAsia="宋体" w:cs="宋体"/>
                <w:color w:val="000000"/>
                <w:kern w:val="0"/>
                <w:sz w:val="20"/>
                <w:szCs w:val="20"/>
                <w:lang w:bidi="ar"/>
              </w:rPr>
              <w:t>6</w:t>
            </w:r>
            <w:r>
              <w:rPr>
                <w:rFonts w:ascii="宋体" w:hAnsi="宋体" w:eastAsia="宋体" w:cs="宋体"/>
                <w:color w:val="000000"/>
                <w:kern w:val="0"/>
                <w:sz w:val="20"/>
                <w:szCs w:val="20"/>
                <w:lang w:bidi="ar"/>
              </w:rPr>
              <w:t xml:space="preserve"> 滤袋</w:t>
            </w:r>
            <w:r>
              <w:rPr>
                <w:rFonts w:hint="eastAsia" w:ascii="宋体" w:hAnsi="宋体" w:eastAsia="宋体" w:cs="宋体"/>
                <w:color w:val="000000"/>
                <w:kern w:val="0"/>
                <w:sz w:val="20"/>
                <w:szCs w:val="20"/>
                <w:lang w:bidi="ar"/>
              </w:rPr>
              <w:t>：</w:t>
            </w:r>
            <w:r>
              <w:rPr>
                <w:rFonts w:ascii="宋体" w:hAnsi="宋体" w:eastAsia="宋体" w:cs="宋体"/>
                <w:color w:val="000000"/>
                <w:kern w:val="0"/>
                <w:sz w:val="20"/>
                <w:szCs w:val="20"/>
                <w:lang w:bidi="ar"/>
              </w:rPr>
              <w:t xml:space="preserve"> </w:t>
            </w:r>
            <w:r>
              <w:rPr>
                <w:rFonts w:hint="eastAsia" w:ascii="宋体" w:hAnsi="宋体" w:eastAsia="宋体" w:cs="宋体"/>
                <w:color w:val="000000"/>
                <w:kern w:val="0"/>
                <w:sz w:val="20"/>
                <w:szCs w:val="20"/>
                <w:lang w:bidi="ar"/>
              </w:rPr>
              <w:t>是具有</w:t>
            </w:r>
            <w:r>
              <w:rPr>
                <w:rFonts w:ascii="宋体" w:hAnsi="宋体" w:eastAsia="宋体" w:cs="宋体"/>
                <w:color w:val="000000"/>
                <w:kern w:val="0"/>
                <w:sz w:val="20"/>
                <w:szCs w:val="20"/>
                <w:lang w:bidi="ar"/>
              </w:rPr>
              <w:t>高强防腐防静电</w:t>
            </w:r>
            <w:r>
              <w:rPr>
                <w:rFonts w:hint="eastAsia" w:ascii="宋体" w:hAnsi="宋体" w:eastAsia="宋体" w:cs="宋体"/>
                <w:color w:val="000000"/>
                <w:kern w:val="0"/>
                <w:sz w:val="20"/>
                <w:szCs w:val="20"/>
                <w:lang w:bidi="ar"/>
              </w:rPr>
              <w:t>功能</w:t>
            </w:r>
            <w:r>
              <w:rPr>
                <w:rFonts w:ascii="宋体" w:hAnsi="宋体" w:eastAsia="宋体" w:cs="宋体"/>
                <w:color w:val="000000"/>
                <w:kern w:val="0"/>
                <w:sz w:val="20"/>
                <w:szCs w:val="20"/>
                <w:lang w:bidi="ar"/>
              </w:rPr>
              <w:t>。</w:t>
            </w:r>
          </w:p>
          <w:p w14:paraId="4963E5B2">
            <w:pPr>
              <w:keepNext w:val="0"/>
              <w:keepLines w:val="0"/>
              <w:widowControl/>
              <w:spacing w:line="360" w:lineRule="atLeast"/>
              <w:jc w:val="both"/>
              <w:outlineLvl w:val="1"/>
              <w:rPr>
                <w:rFonts w:ascii="Arial" w:hAnsi="Arial" w:eastAsia="宋体" w:cs="Times New Roman"/>
                <w:b w:val="0"/>
                <w:bCs w:val="0"/>
                <w:color w:val="000000"/>
                <w:kern w:val="2"/>
                <w:sz w:val="20"/>
                <w:szCs w:val="20"/>
                <w:lang w:val="en-US" w:eastAsia="zh-CN" w:bidi="ar-SA"/>
              </w:rPr>
            </w:pPr>
            <w:r>
              <w:rPr>
                <w:rFonts w:hint="eastAsia" w:ascii="宋体" w:hAnsi="宋体" w:eastAsia="宋体" w:cs="宋体"/>
                <w:b w:val="0"/>
                <w:bCs w:val="0"/>
                <w:color w:val="000000"/>
                <w:kern w:val="0"/>
                <w:sz w:val="20"/>
                <w:szCs w:val="20"/>
                <w:lang w:val="en-US" w:eastAsia="zh-CN" w:bidi="ar"/>
              </w:rPr>
              <w:t>3.硬</w:t>
            </w:r>
            <w:r>
              <w:rPr>
                <w:rFonts w:hint="eastAsia" w:ascii="Arial" w:hAnsi="Arial" w:eastAsia="宋体" w:cs="Times New Roman"/>
                <w:b w:val="0"/>
                <w:bCs w:val="0"/>
                <w:color w:val="000000"/>
                <w:kern w:val="2"/>
                <w:sz w:val="20"/>
                <w:szCs w:val="20"/>
                <w:lang w:val="en-US" w:eastAsia="zh-CN" w:bidi="ar-SA"/>
              </w:rPr>
              <w:t>质隔离器</w:t>
            </w:r>
          </w:p>
          <w:p w14:paraId="186FCC69">
            <w:pPr>
              <w:widowControl/>
              <w:spacing w:line="360" w:lineRule="atLeast"/>
              <w:jc w:val="left"/>
              <w:rPr>
                <w:rFonts w:hint="eastAsia" w:ascii="宋体" w:hAnsi="宋体" w:eastAsia="宋体" w:cs="宋体"/>
                <w:color w:val="000000"/>
                <w:kern w:val="0"/>
                <w:sz w:val="20"/>
                <w:szCs w:val="20"/>
                <w:lang w:bidi="ar"/>
              </w:rPr>
            </w:pPr>
            <w:r>
              <w:rPr>
                <w:rFonts w:ascii="宋体" w:hAnsi="宋体" w:eastAsia="宋体" w:cs="宋体"/>
                <w:color w:val="000000"/>
                <w:kern w:val="0"/>
                <w:sz w:val="20"/>
                <w:szCs w:val="20"/>
                <w:lang w:bidi="ar"/>
              </w:rPr>
              <w:t xml:space="preserve">3.1 </w:t>
            </w:r>
            <w:r>
              <w:rPr>
                <w:rFonts w:hint="eastAsia" w:ascii="宋体" w:hAnsi="宋体" w:eastAsia="宋体" w:cs="宋体"/>
                <w:color w:val="000000"/>
                <w:kern w:val="0"/>
                <w:sz w:val="20"/>
                <w:szCs w:val="20"/>
                <w:lang w:bidi="ar"/>
              </w:rPr>
              <w:t>主体材质：不低于SUS304。</w:t>
            </w:r>
          </w:p>
          <w:p w14:paraId="14019D75">
            <w:pPr>
              <w:widowControl/>
              <w:spacing w:line="360" w:lineRule="atLeast"/>
              <w:jc w:val="left"/>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3.2 面板：不低于钢化玻璃</w:t>
            </w:r>
            <w:r>
              <w:rPr>
                <w:rFonts w:ascii="宋体" w:hAnsi="宋体" w:eastAsia="宋体" w:cs="宋体"/>
                <w:color w:val="000000"/>
                <w:kern w:val="0"/>
                <w:sz w:val="20"/>
                <w:szCs w:val="20"/>
                <w:lang w:bidi="ar"/>
              </w:rPr>
              <w:t xml:space="preserve"> </w:t>
            </w:r>
            <w:r>
              <w:rPr>
                <w:rFonts w:hint="eastAsia" w:ascii="宋体" w:hAnsi="宋体" w:eastAsia="宋体" w:cs="宋体"/>
                <w:color w:val="000000"/>
                <w:kern w:val="0"/>
                <w:sz w:val="20"/>
                <w:szCs w:val="20"/>
                <w:lang w:bidi="ar"/>
              </w:rPr>
              <w:t>。</w:t>
            </w:r>
          </w:p>
          <w:p w14:paraId="1D0245A8">
            <w:pPr>
              <w:widowControl/>
              <w:spacing w:line="360" w:lineRule="atLeast"/>
              <w:jc w:val="left"/>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3.3 喂料器、气流粉碎模块、销棒粉碎模块、收料单元等，均应集成在硬质隔离器内部，以保证在隔离器内部进行带粉开放操作与故障排除（带粉开放操作时，继续维持无水、无氧环境）。</w:t>
            </w:r>
          </w:p>
          <w:p w14:paraId="7B3701B0">
            <w:pPr>
              <w:widowControl/>
              <w:spacing w:line="360" w:lineRule="atLeast"/>
              <w:jc w:val="left"/>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3.4气流粉碎机与销棒粉碎机应共用喂料器与收料模块，可根据项目需求进行内部切换使用。</w:t>
            </w:r>
          </w:p>
          <w:p w14:paraId="0848BDF8">
            <w:pPr>
              <w:keepNext w:val="0"/>
              <w:keepLines w:val="0"/>
              <w:widowControl/>
              <w:spacing w:line="360" w:lineRule="atLeast"/>
              <w:jc w:val="both"/>
              <w:outlineLvl w:val="1"/>
              <w:rPr>
                <w:rFonts w:ascii="Arial" w:hAnsi="Arial" w:eastAsia="宋体" w:cs="Times New Roman"/>
                <w:b w:val="0"/>
                <w:bCs w:val="0"/>
                <w:color w:val="000000"/>
                <w:kern w:val="2"/>
                <w:sz w:val="20"/>
                <w:szCs w:val="20"/>
                <w:lang w:val="en-US" w:eastAsia="zh-CN" w:bidi="ar-SA"/>
              </w:rPr>
            </w:pPr>
            <w:r>
              <w:rPr>
                <w:rFonts w:hint="eastAsia" w:ascii="宋体" w:hAnsi="宋体" w:eastAsia="宋体" w:cs="宋体"/>
                <w:b w:val="0"/>
                <w:bCs w:val="0"/>
                <w:color w:val="000000"/>
                <w:kern w:val="0"/>
                <w:sz w:val="20"/>
                <w:szCs w:val="20"/>
                <w:lang w:val="en-US" w:eastAsia="zh-CN" w:bidi="ar"/>
              </w:rPr>
              <w:t>4.</w:t>
            </w:r>
            <w:r>
              <w:rPr>
                <w:rFonts w:ascii="宋体" w:hAnsi="宋体" w:eastAsia="宋体" w:cs="宋体"/>
                <w:b w:val="0"/>
                <w:bCs w:val="0"/>
                <w:color w:val="000000"/>
                <w:kern w:val="0"/>
                <w:sz w:val="20"/>
                <w:szCs w:val="20"/>
                <w:lang w:val="en-US" w:eastAsia="zh-CN" w:bidi="ar"/>
              </w:rPr>
              <w:t>进</w:t>
            </w:r>
            <w:r>
              <w:rPr>
                <w:rFonts w:ascii="Arial" w:hAnsi="Arial" w:eastAsia="宋体" w:cs="Times New Roman"/>
                <w:b w:val="0"/>
                <w:bCs w:val="0"/>
                <w:color w:val="000000"/>
                <w:kern w:val="2"/>
                <w:sz w:val="20"/>
                <w:szCs w:val="20"/>
                <w:lang w:val="en-US" w:eastAsia="zh-CN" w:bidi="ar-SA"/>
              </w:rPr>
              <w:t>料装置配置要求</w:t>
            </w:r>
          </w:p>
          <w:p w14:paraId="69AC7E7A">
            <w:pPr>
              <w:widowControl/>
              <w:spacing w:line="360" w:lineRule="atLeast"/>
              <w:jc w:val="left"/>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4</w:t>
            </w:r>
            <w:r>
              <w:rPr>
                <w:rFonts w:ascii="宋体" w:hAnsi="宋体" w:eastAsia="宋体" w:cs="宋体"/>
                <w:color w:val="000000"/>
                <w:kern w:val="0"/>
                <w:sz w:val="20"/>
                <w:szCs w:val="20"/>
                <w:lang w:bidi="ar"/>
              </w:rPr>
              <w:t xml:space="preserve">.1 </w:t>
            </w:r>
            <w:r>
              <w:rPr>
                <w:rFonts w:hint="eastAsia" w:ascii="宋体" w:hAnsi="宋体" w:eastAsia="宋体" w:cs="宋体"/>
                <w:color w:val="000000"/>
                <w:kern w:val="0"/>
                <w:sz w:val="20"/>
                <w:szCs w:val="20"/>
                <w:lang w:bidi="ar"/>
              </w:rPr>
              <w:t>双螺杆喂料机</w:t>
            </w:r>
            <w:r>
              <w:rPr>
                <w:rFonts w:ascii="宋体" w:hAnsi="宋体" w:eastAsia="宋体" w:cs="宋体"/>
                <w:color w:val="000000"/>
                <w:kern w:val="0"/>
                <w:sz w:val="20"/>
                <w:szCs w:val="20"/>
                <w:lang w:bidi="ar"/>
              </w:rPr>
              <w:t xml:space="preserve"> </w:t>
            </w:r>
            <w:r>
              <w:rPr>
                <w:rFonts w:hint="eastAsia" w:ascii="宋体" w:hAnsi="宋体" w:eastAsia="宋体" w:cs="宋体"/>
                <w:color w:val="000000"/>
                <w:kern w:val="0"/>
                <w:sz w:val="20"/>
                <w:szCs w:val="20"/>
                <w:lang w:bidi="ar"/>
              </w:rPr>
              <w:t>≥</w:t>
            </w:r>
            <w:r>
              <w:rPr>
                <w:rFonts w:ascii="宋体" w:hAnsi="宋体" w:eastAsia="宋体" w:cs="宋体"/>
                <w:color w:val="000000"/>
                <w:kern w:val="0"/>
                <w:sz w:val="20"/>
                <w:szCs w:val="20"/>
                <w:lang w:bidi="ar"/>
              </w:rPr>
              <w:t>1 台</w:t>
            </w:r>
            <w:r>
              <w:rPr>
                <w:rFonts w:hint="eastAsia" w:ascii="宋体" w:hAnsi="宋体" w:eastAsia="宋体" w:cs="宋体"/>
                <w:color w:val="000000"/>
                <w:kern w:val="0"/>
                <w:sz w:val="20"/>
                <w:szCs w:val="20"/>
                <w:lang w:bidi="ar"/>
              </w:rPr>
              <w:t>。</w:t>
            </w:r>
            <w:r>
              <w:rPr>
                <w:rFonts w:ascii="宋体" w:hAnsi="宋体" w:eastAsia="宋体" w:cs="宋体"/>
                <w:color w:val="000000"/>
                <w:kern w:val="0"/>
                <w:sz w:val="20"/>
                <w:szCs w:val="20"/>
                <w:lang w:bidi="ar"/>
              </w:rPr>
              <w:t xml:space="preserve"> </w:t>
            </w:r>
          </w:p>
          <w:p w14:paraId="197CEEAE">
            <w:pPr>
              <w:widowControl/>
              <w:spacing w:line="360" w:lineRule="atLeast"/>
              <w:jc w:val="left"/>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4</w:t>
            </w:r>
            <w:r>
              <w:rPr>
                <w:rFonts w:ascii="宋体" w:hAnsi="宋体" w:eastAsia="宋体" w:cs="宋体"/>
                <w:color w:val="000000"/>
                <w:kern w:val="0"/>
                <w:sz w:val="20"/>
                <w:szCs w:val="20"/>
                <w:lang w:bidi="ar"/>
              </w:rPr>
              <w:t xml:space="preserve">.1.1 </w:t>
            </w:r>
            <w:r>
              <w:rPr>
                <w:rFonts w:hint="eastAsia" w:ascii="宋体" w:hAnsi="宋体" w:eastAsia="宋体" w:cs="宋体"/>
                <w:color w:val="000000"/>
                <w:kern w:val="0"/>
                <w:sz w:val="20"/>
                <w:szCs w:val="20"/>
                <w:lang w:bidi="ar"/>
              </w:rPr>
              <w:t xml:space="preserve">材质：不低于SUS304。 </w:t>
            </w:r>
          </w:p>
          <w:p w14:paraId="68DD5350">
            <w:pPr>
              <w:widowControl/>
              <w:spacing w:line="360" w:lineRule="atLeast"/>
              <w:jc w:val="left"/>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4</w:t>
            </w:r>
            <w:r>
              <w:rPr>
                <w:rFonts w:ascii="宋体" w:hAnsi="宋体" w:eastAsia="宋体" w:cs="宋体"/>
                <w:color w:val="000000"/>
                <w:kern w:val="0"/>
                <w:sz w:val="20"/>
                <w:szCs w:val="20"/>
                <w:lang w:bidi="ar"/>
              </w:rPr>
              <w:t>.1.2 加料机功率</w:t>
            </w:r>
            <w:r>
              <w:rPr>
                <w:rFonts w:hint="eastAsia" w:ascii="宋体" w:hAnsi="宋体" w:eastAsia="宋体" w:cs="宋体"/>
                <w:color w:val="000000"/>
                <w:kern w:val="0"/>
                <w:sz w:val="20"/>
                <w:szCs w:val="20"/>
                <w:lang w:bidi="ar"/>
              </w:rPr>
              <w:t>≥</w:t>
            </w:r>
            <w:r>
              <w:rPr>
                <w:rFonts w:ascii="宋体" w:hAnsi="宋体" w:eastAsia="宋体" w:cs="宋体"/>
                <w:color w:val="000000"/>
                <w:kern w:val="0"/>
                <w:sz w:val="20"/>
                <w:szCs w:val="20"/>
                <w:lang w:bidi="ar"/>
              </w:rPr>
              <w:t xml:space="preserve"> 0.</w:t>
            </w:r>
            <w:r>
              <w:rPr>
                <w:rFonts w:hint="eastAsia" w:ascii="宋体" w:hAnsi="宋体" w:eastAsia="宋体" w:cs="宋体"/>
                <w:color w:val="000000"/>
                <w:kern w:val="0"/>
                <w:sz w:val="20"/>
                <w:szCs w:val="20"/>
                <w:lang w:bidi="ar"/>
              </w:rPr>
              <w:t>4</w:t>
            </w:r>
            <w:r>
              <w:rPr>
                <w:rFonts w:ascii="宋体" w:hAnsi="宋体" w:eastAsia="宋体" w:cs="宋体"/>
                <w:color w:val="000000"/>
                <w:kern w:val="0"/>
                <w:sz w:val="20"/>
                <w:szCs w:val="20"/>
                <w:lang w:bidi="ar"/>
              </w:rPr>
              <w:t>kW，</w:t>
            </w:r>
            <w:r>
              <w:rPr>
                <w:rFonts w:hint="eastAsia" w:ascii="宋体" w:hAnsi="宋体" w:eastAsia="宋体" w:cs="宋体"/>
                <w:color w:val="000000"/>
                <w:kern w:val="0"/>
                <w:sz w:val="20"/>
                <w:szCs w:val="20"/>
                <w:lang w:bidi="ar"/>
              </w:rPr>
              <w:t>伺服变频，减速比：20:1</w:t>
            </w:r>
            <w:r>
              <w:rPr>
                <w:rFonts w:ascii="宋体" w:hAnsi="宋体" w:eastAsia="宋体" w:cs="宋体"/>
                <w:color w:val="000000"/>
                <w:kern w:val="0"/>
                <w:sz w:val="20"/>
                <w:szCs w:val="20"/>
                <w:lang w:bidi="ar"/>
              </w:rPr>
              <w:t xml:space="preserve">。 </w:t>
            </w:r>
          </w:p>
          <w:p w14:paraId="0DD2168E">
            <w:pPr>
              <w:widowControl/>
              <w:spacing w:line="360" w:lineRule="atLeast"/>
              <w:jc w:val="left"/>
              <w:rPr>
                <w:rFonts w:ascii="Times New Roman" w:hAnsi="Times New Roman" w:eastAsia="宋体" w:cs="Times New Roman"/>
                <w:color w:val="000000"/>
                <w:sz w:val="20"/>
                <w:szCs w:val="20"/>
              </w:rPr>
            </w:pPr>
            <w:r>
              <w:rPr>
                <w:rFonts w:hint="eastAsia" w:ascii="宋体" w:hAnsi="宋体" w:eastAsia="宋体" w:cs="宋体"/>
                <w:color w:val="000000"/>
                <w:kern w:val="0"/>
                <w:sz w:val="20"/>
                <w:szCs w:val="20"/>
                <w:lang w:bidi="ar"/>
              </w:rPr>
              <w:t>4</w:t>
            </w:r>
            <w:r>
              <w:rPr>
                <w:rFonts w:ascii="宋体" w:hAnsi="宋体" w:eastAsia="宋体" w:cs="宋体"/>
                <w:color w:val="000000"/>
                <w:kern w:val="0"/>
                <w:sz w:val="20"/>
                <w:szCs w:val="20"/>
                <w:lang w:bidi="ar"/>
              </w:rPr>
              <w:t xml:space="preserve">.1.3 </w:t>
            </w:r>
            <w:r>
              <w:rPr>
                <w:rFonts w:hint="eastAsia" w:ascii="宋体" w:hAnsi="宋体" w:eastAsia="宋体" w:cs="宋体"/>
                <w:color w:val="000000"/>
                <w:kern w:val="0"/>
                <w:sz w:val="20"/>
                <w:szCs w:val="20"/>
                <w:lang w:bidi="ar"/>
              </w:rPr>
              <w:t>料斗喷涂特氟龙，螺杆与搅拌喷涂碳化钨，料斗体积为≥5000mL，可密闭拆解清理</w:t>
            </w:r>
            <w:r>
              <w:rPr>
                <w:rFonts w:ascii="宋体" w:hAnsi="宋体" w:eastAsia="宋体" w:cs="宋体"/>
                <w:color w:val="000000"/>
                <w:kern w:val="0"/>
                <w:sz w:val="20"/>
                <w:szCs w:val="20"/>
                <w:lang w:bidi="ar"/>
              </w:rPr>
              <w:t>。</w:t>
            </w:r>
          </w:p>
          <w:p w14:paraId="4FB80E0A">
            <w:pPr>
              <w:keepNext w:val="0"/>
              <w:keepLines w:val="0"/>
              <w:widowControl/>
              <w:spacing w:line="360" w:lineRule="atLeast"/>
              <w:jc w:val="both"/>
              <w:outlineLvl w:val="1"/>
              <w:rPr>
                <w:rFonts w:ascii="Arial" w:hAnsi="Arial" w:eastAsia="宋体" w:cs="Times New Roman"/>
                <w:b w:val="0"/>
                <w:bCs w:val="0"/>
                <w:color w:val="000000"/>
                <w:kern w:val="2"/>
                <w:sz w:val="20"/>
                <w:szCs w:val="20"/>
                <w:lang w:val="en-US" w:eastAsia="zh-CN" w:bidi="ar-SA"/>
              </w:rPr>
            </w:pPr>
            <w:r>
              <w:rPr>
                <w:rFonts w:hint="eastAsia" w:ascii="宋体" w:hAnsi="宋体" w:eastAsia="宋体" w:cs="宋体"/>
                <w:b w:val="0"/>
                <w:bCs w:val="0"/>
                <w:color w:val="000000"/>
                <w:kern w:val="0"/>
                <w:sz w:val="20"/>
                <w:szCs w:val="20"/>
                <w:lang w:val="en-US" w:eastAsia="zh-CN" w:bidi="ar"/>
              </w:rPr>
              <w:t>5.气</w:t>
            </w:r>
            <w:r>
              <w:rPr>
                <w:rFonts w:hint="eastAsia" w:ascii="Arial" w:hAnsi="Arial" w:eastAsia="宋体" w:cs="Times New Roman"/>
                <w:b w:val="0"/>
                <w:bCs w:val="0"/>
                <w:color w:val="000000"/>
                <w:kern w:val="2"/>
                <w:sz w:val="20"/>
                <w:szCs w:val="20"/>
                <w:lang w:val="en-US" w:eastAsia="zh-CN" w:bidi="ar-SA"/>
              </w:rPr>
              <w:t>流粉碎模块</w:t>
            </w:r>
            <w:r>
              <w:rPr>
                <w:rFonts w:ascii="宋体" w:hAnsi="宋体" w:eastAsia="宋体" w:cs="宋体"/>
                <w:b w:val="0"/>
                <w:bCs w:val="0"/>
                <w:color w:val="000000"/>
                <w:kern w:val="0"/>
                <w:sz w:val="20"/>
                <w:szCs w:val="20"/>
                <w:lang w:val="en-US" w:eastAsia="zh-CN" w:bidi="ar"/>
              </w:rPr>
              <w:t>（</w:t>
            </w:r>
            <w:r>
              <w:rPr>
                <w:rFonts w:hint="eastAsia" w:ascii="宋体" w:hAnsi="宋体" w:eastAsia="宋体" w:cs="宋体"/>
                <w:b w:val="0"/>
                <w:bCs w:val="0"/>
                <w:color w:val="000000"/>
                <w:kern w:val="0"/>
                <w:sz w:val="20"/>
                <w:szCs w:val="20"/>
                <w:lang w:val="en-US" w:eastAsia="zh-CN" w:bidi="ar"/>
              </w:rPr>
              <w:t>1</w:t>
            </w:r>
            <w:r>
              <w:rPr>
                <w:rFonts w:ascii="Arial" w:hAnsi="Arial" w:eastAsia="宋体" w:cs="Times New Roman"/>
                <w:b w:val="0"/>
                <w:bCs w:val="0"/>
                <w:color w:val="000000"/>
                <w:kern w:val="2"/>
                <w:sz w:val="20"/>
                <w:szCs w:val="20"/>
                <w:lang w:val="en-US" w:eastAsia="zh-CN" w:bidi="ar-SA"/>
              </w:rPr>
              <w:t xml:space="preserve"> </w:t>
            </w:r>
            <w:r>
              <w:rPr>
                <w:rFonts w:hint="eastAsia" w:ascii="Arial" w:hAnsi="Arial" w:eastAsia="宋体" w:cs="Times New Roman"/>
                <w:b w:val="0"/>
                <w:bCs w:val="0"/>
                <w:color w:val="000000"/>
                <w:kern w:val="2"/>
                <w:sz w:val="20"/>
                <w:szCs w:val="20"/>
                <w:lang w:val="en-US" w:eastAsia="zh-CN" w:bidi="ar-SA"/>
              </w:rPr>
              <w:t>套</w:t>
            </w:r>
            <w:r>
              <w:rPr>
                <w:rFonts w:ascii="Arial" w:hAnsi="Arial" w:eastAsia="宋体" w:cs="Times New Roman"/>
                <w:b w:val="0"/>
                <w:bCs w:val="0"/>
                <w:color w:val="000000"/>
                <w:kern w:val="2"/>
                <w:sz w:val="20"/>
                <w:szCs w:val="20"/>
                <w:lang w:val="en-US" w:eastAsia="zh-CN" w:bidi="ar-SA"/>
              </w:rPr>
              <w:t>）</w:t>
            </w:r>
          </w:p>
          <w:p w14:paraId="62FF8845">
            <w:pPr>
              <w:widowControl/>
              <w:spacing w:line="360" w:lineRule="atLeast"/>
              <w:jc w:val="left"/>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5</w:t>
            </w:r>
            <w:r>
              <w:rPr>
                <w:rFonts w:ascii="宋体" w:hAnsi="宋体" w:eastAsia="宋体" w:cs="宋体"/>
                <w:color w:val="000000"/>
                <w:kern w:val="0"/>
                <w:sz w:val="20"/>
                <w:szCs w:val="20"/>
                <w:lang w:bidi="ar"/>
              </w:rPr>
              <w:t xml:space="preserve">.1 主体 </w:t>
            </w:r>
            <w:r>
              <w:rPr>
                <w:rFonts w:hint="eastAsia" w:ascii="宋体" w:hAnsi="宋体" w:eastAsia="宋体" w:cs="宋体"/>
                <w:color w:val="000000"/>
                <w:kern w:val="0"/>
                <w:sz w:val="20"/>
                <w:szCs w:val="20"/>
                <w:lang w:bidi="ar"/>
              </w:rPr>
              <w:t>不低于SUS316L</w:t>
            </w:r>
            <w:r>
              <w:rPr>
                <w:rFonts w:ascii="宋体" w:hAnsi="宋体" w:eastAsia="宋体" w:cs="宋体"/>
                <w:color w:val="000000"/>
                <w:kern w:val="0"/>
                <w:sz w:val="20"/>
                <w:szCs w:val="20"/>
                <w:lang w:bidi="ar"/>
              </w:rPr>
              <w:t>不锈钢材质</w:t>
            </w:r>
            <w:r>
              <w:rPr>
                <w:rFonts w:hint="eastAsia" w:ascii="宋体" w:hAnsi="宋体" w:eastAsia="宋体" w:cs="宋体"/>
                <w:color w:val="000000"/>
                <w:kern w:val="0"/>
                <w:sz w:val="20"/>
                <w:szCs w:val="20"/>
                <w:lang w:bidi="ar"/>
              </w:rPr>
              <w:t>，</w:t>
            </w:r>
          </w:p>
          <w:p w14:paraId="001BBBD4">
            <w:pPr>
              <w:widowControl/>
              <w:spacing w:line="360" w:lineRule="atLeast"/>
              <w:jc w:val="left"/>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5.2喷嘴环、喷射器加速管、出料口、注射器均为不低于氧化锆材质。</w:t>
            </w:r>
            <w:r>
              <w:rPr>
                <w:rFonts w:ascii="宋体" w:hAnsi="宋体" w:eastAsia="宋体" w:cs="宋体"/>
                <w:color w:val="000000"/>
                <w:kern w:val="0"/>
                <w:sz w:val="20"/>
                <w:szCs w:val="20"/>
                <w:lang w:bidi="ar"/>
              </w:rPr>
              <w:t xml:space="preserve"> </w:t>
            </w:r>
          </w:p>
          <w:p w14:paraId="430151B0">
            <w:pPr>
              <w:keepNext w:val="0"/>
              <w:keepLines w:val="0"/>
              <w:widowControl/>
              <w:spacing w:line="360" w:lineRule="atLeast"/>
              <w:jc w:val="both"/>
              <w:outlineLvl w:val="1"/>
              <w:rPr>
                <w:rFonts w:ascii="Arial" w:hAnsi="Arial" w:eastAsia="宋体" w:cs="Times New Roman"/>
                <w:b w:val="0"/>
                <w:bCs w:val="0"/>
                <w:color w:val="000000"/>
                <w:kern w:val="2"/>
                <w:sz w:val="20"/>
                <w:szCs w:val="20"/>
                <w:lang w:val="en-US" w:eastAsia="zh-CN" w:bidi="ar-SA"/>
              </w:rPr>
            </w:pPr>
            <w:r>
              <w:rPr>
                <w:rFonts w:hint="eastAsia" w:ascii="宋体" w:hAnsi="宋体" w:eastAsia="宋体" w:cs="宋体"/>
                <w:b w:val="0"/>
                <w:bCs w:val="0"/>
                <w:color w:val="000000"/>
                <w:kern w:val="0"/>
                <w:sz w:val="20"/>
                <w:szCs w:val="20"/>
                <w:lang w:val="en-US" w:eastAsia="zh-CN" w:bidi="ar"/>
              </w:rPr>
              <w:t>6.销</w:t>
            </w:r>
            <w:r>
              <w:rPr>
                <w:rFonts w:hint="eastAsia" w:ascii="Arial" w:hAnsi="Arial" w:eastAsia="宋体" w:cs="Times New Roman"/>
                <w:b w:val="0"/>
                <w:bCs w:val="0"/>
                <w:color w:val="000000"/>
                <w:kern w:val="2"/>
                <w:sz w:val="20"/>
                <w:szCs w:val="20"/>
                <w:lang w:val="en-US" w:eastAsia="zh-CN" w:bidi="ar-SA"/>
              </w:rPr>
              <w:t>棒粉碎模块（</w:t>
            </w:r>
            <w:r>
              <w:rPr>
                <w:rFonts w:hint="eastAsia" w:ascii="宋体" w:hAnsi="宋体" w:eastAsia="宋体" w:cs="宋体"/>
                <w:b w:val="0"/>
                <w:bCs w:val="0"/>
                <w:color w:val="000000"/>
                <w:kern w:val="0"/>
                <w:sz w:val="20"/>
                <w:szCs w:val="20"/>
                <w:lang w:val="en-US" w:eastAsia="zh-CN" w:bidi="ar"/>
              </w:rPr>
              <w:t>1</w:t>
            </w:r>
            <w:r>
              <w:rPr>
                <w:rFonts w:hint="eastAsia" w:ascii="Arial" w:hAnsi="Arial" w:eastAsia="宋体" w:cs="Times New Roman"/>
                <w:b w:val="0"/>
                <w:bCs w:val="0"/>
                <w:color w:val="000000"/>
                <w:kern w:val="2"/>
                <w:sz w:val="20"/>
                <w:szCs w:val="20"/>
                <w:lang w:val="en-US" w:eastAsia="zh-CN" w:bidi="ar-SA"/>
              </w:rPr>
              <w:t>套）</w:t>
            </w:r>
          </w:p>
          <w:p w14:paraId="24A7A415">
            <w:pPr>
              <w:widowControl/>
              <w:spacing w:line="360" w:lineRule="atLeast"/>
              <w:jc w:val="left"/>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6</w:t>
            </w:r>
            <w:r>
              <w:rPr>
                <w:rFonts w:ascii="宋体" w:hAnsi="宋体" w:eastAsia="宋体" w:cs="宋体"/>
                <w:color w:val="000000"/>
                <w:kern w:val="0"/>
                <w:sz w:val="20"/>
                <w:szCs w:val="20"/>
                <w:lang w:bidi="ar"/>
              </w:rPr>
              <w:t xml:space="preserve">.1 </w:t>
            </w:r>
            <w:r>
              <w:rPr>
                <w:rFonts w:hint="eastAsia" w:ascii="宋体" w:hAnsi="宋体" w:eastAsia="宋体" w:cs="宋体"/>
                <w:color w:val="000000"/>
                <w:kern w:val="0"/>
                <w:sz w:val="20"/>
                <w:szCs w:val="20"/>
                <w:lang w:bidi="ar"/>
              </w:rPr>
              <w:t>高速电机</w:t>
            </w:r>
            <w:r>
              <w:rPr>
                <w:rFonts w:ascii="宋体" w:hAnsi="宋体" w:eastAsia="宋体" w:cs="宋体"/>
                <w:color w:val="000000"/>
                <w:kern w:val="0"/>
                <w:sz w:val="20"/>
                <w:szCs w:val="20"/>
                <w:lang w:bidi="ar"/>
              </w:rPr>
              <w:t>功率</w:t>
            </w:r>
            <w:r>
              <w:rPr>
                <w:rFonts w:hint="eastAsia" w:ascii="宋体" w:hAnsi="宋体" w:eastAsia="宋体" w:cs="宋体"/>
                <w:color w:val="000000"/>
                <w:kern w:val="0"/>
                <w:sz w:val="20"/>
                <w:szCs w:val="20"/>
                <w:lang w:bidi="ar"/>
              </w:rPr>
              <w:t>≥5</w:t>
            </w:r>
            <w:r>
              <w:rPr>
                <w:rFonts w:ascii="宋体" w:hAnsi="宋体" w:eastAsia="宋体" w:cs="宋体"/>
                <w:color w:val="000000"/>
                <w:kern w:val="0"/>
                <w:sz w:val="20"/>
                <w:szCs w:val="20"/>
                <w:lang w:bidi="ar"/>
              </w:rPr>
              <w:t>kW，</w:t>
            </w:r>
            <w:r>
              <w:rPr>
                <w:rFonts w:hint="eastAsia" w:ascii="宋体" w:hAnsi="宋体" w:eastAsia="宋体" w:cs="宋体"/>
                <w:color w:val="000000"/>
                <w:kern w:val="0"/>
                <w:sz w:val="20"/>
                <w:szCs w:val="20"/>
                <w:lang w:bidi="ar"/>
              </w:rPr>
              <w:t>类型：永磁变频电机，最高转速：≥22000rpm，冷却方式：风冷</w:t>
            </w:r>
            <w:r>
              <w:rPr>
                <w:rFonts w:ascii="宋体" w:hAnsi="宋体" w:eastAsia="宋体" w:cs="宋体"/>
                <w:color w:val="000000"/>
                <w:kern w:val="0"/>
                <w:sz w:val="20"/>
                <w:szCs w:val="20"/>
                <w:lang w:bidi="ar"/>
              </w:rPr>
              <w:t>。</w:t>
            </w:r>
          </w:p>
          <w:p w14:paraId="4E4E8502">
            <w:pPr>
              <w:widowControl/>
              <w:spacing w:line="360" w:lineRule="atLeast"/>
              <w:jc w:val="left"/>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6</w:t>
            </w:r>
            <w:r>
              <w:rPr>
                <w:rFonts w:ascii="宋体" w:hAnsi="宋体" w:eastAsia="宋体" w:cs="宋体"/>
                <w:color w:val="000000"/>
                <w:kern w:val="0"/>
                <w:sz w:val="20"/>
                <w:szCs w:val="20"/>
                <w:lang w:bidi="ar"/>
              </w:rPr>
              <w:t xml:space="preserve">.2 </w:t>
            </w:r>
            <w:r>
              <w:rPr>
                <w:rFonts w:hint="eastAsia" w:ascii="宋体" w:hAnsi="宋体" w:eastAsia="宋体" w:cs="宋体"/>
                <w:color w:val="000000"/>
                <w:kern w:val="0"/>
                <w:sz w:val="20"/>
                <w:szCs w:val="20"/>
                <w:lang w:bidi="ar"/>
              </w:rPr>
              <w:t>后盖板、箱体、盖板、下料口、反吹烧结网、定子、转子材质均为不低于不锈钢喷涂碳化钨材质。</w:t>
            </w:r>
          </w:p>
          <w:p w14:paraId="35516D3A">
            <w:pPr>
              <w:keepNext w:val="0"/>
              <w:keepLines w:val="0"/>
              <w:widowControl/>
              <w:spacing w:line="360" w:lineRule="atLeast"/>
              <w:jc w:val="both"/>
              <w:outlineLvl w:val="1"/>
              <w:rPr>
                <w:rFonts w:ascii="Arial" w:hAnsi="Arial" w:eastAsia="宋体" w:cs="Times New Roman"/>
                <w:b w:val="0"/>
                <w:bCs w:val="0"/>
                <w:color w:val="000000"/>
                <w:kern w:val="2"/>
                <w:sz w:val="20"/>
                <w:szCs w:val="20"/>
                <w:lang w:val="en-US" w:eastAsia="zh-CN" w:bidi="ar-SA"/>
              </w:rPr>
            </w:pPr>
            <w:r>
              <w:rPr>
                <w:rFonts w:hint="eastAsia" w:ascii="宋体" w:hAnsi="宋体" w:eastAsia="宋体" w:cs="宋体"/>
                <w:b w:val="0"/>
                <w:bCs w:val="0"/>
                <w:color w:val="000000"/>
                <w:kern w:val="0"/>
                <w:sz w:val="20"/>
                <w:szCs w:val="20"/>
                <w:lang w:val="en-US" w:eastAsia="zh-CN" w:bidi="ar"/>
              </w:rPr>
              <w:t>7.</w:t>
            </w:r>
            <w:r>
              <w:rPr>
                <w:rFonts w:hint="eastAsia" w:ascii="Arial" w:hAnsi="Arial" w:eastAsia="宋体" w:cs="Times New Roman"/>
                <w:b w:val="0"/>
                <w:bCs w:val="0"/>
                <w:color w:val="000000"/>
                <w:kern w:val="2"/>
                <w:sz w:val="20"/>
                <w:szCs w:val="20"/>
                <w:lang w:val="en-US" w:eastAsia="zh-CN" w:bidi="ar-SA"/>
              </w:rPr>
              <w:t>收料模块（</w:t>
            </w:r>
            <w:r>
              <w:rPr>
                <w:rFonts w:hint="eastAsia" w:ascii="宋体" w:hAnsi="宋体" w:eastAsia="宋体" w:cs="宋体"/>
                <w:b w:val="0"/>
                <w:bCs w:val="0"/>
                <w:color w:val="000000"/>
                <w:kern w:val="0"/>
                <w:sz w:val="20"/>
                <w:szCs w:val="20"/>
                <w:lang w:val="en-US" w:eastAsia="zh-CN" w:bidi="ar"/>
              </w:rPr>
              <w:t>1</w:t>
            </w:r>
            <w:r>
              <w:rPr>
                <w:rFonts w:hint="eastAsia" w:ascii="Arial" w:hAnsi="Arial" w:eastAsia="宋体" w:cs="Times New Roman"/>
                <w:b w:val="0"/>
                <w:bCs w:val="0"/>
                <w:color w:val="000000"/>
                <w:kern w:val="2"/>
                <w:sz w:val="20"/>
                <w:szCs w:val="20"/>
                <w:lang w:val="en-US" w:eastAsia="zh-CN" w:bidi="ar-SA"/>
              </w:rPr>
              <w:t>套）</w:t>
            </w:r>
          </w:p>
          <w:p w14:paraId="0FD81933">
            <w:pPr>
              <w:widowControl/>
              <w:spacing w:line="360" w:lineRule="atLeast"/>
              <w:jc w:val="left"/>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w:t>
            </w:r>
            <w:r>
              <w:rPr>
                <w:rFonts w:ascii="宋体" w:hAnsi="宋体" w:eastAsia="宋体" w:cs="宋体"/>
                <w:color w:val="000000"/>
                <w:kern w:val="0"/>
                <w:sz w:val="20"/>
                <w:szCs w:val="20"/>
                <w:lang w:bidi="ar"/>
              </w:rPr>
              <w:t>.1 材质：</w:t>
            </w:r>
            <w:r>
              <w:rPr>
                <w:rFonts w:hint="eastAsia" w:ascii="宋体" w:hAnsi="宋体" w:eastAsia="宋体" w:cs="宋体"/>
                <w:color w:val="000000"/>
                <w:kern w:val="0"/>
                <w:sz w:val="20"/>
                <w:szCs w:val="20"/>
                <w:lang w:bidi="ar"/>
              </w:rPr>
              <w:t>不低于</w:t>
            </w:r>
            <w:r>
              <w:rPr>
                <w:rFonts w:ascii="宋体" w:hAnsi="宋体" w:eastAsia="宋体" w:cs="宋体"/>
                <w:color w:val="000000"/>
                <w:kern w:val="0"/>
                <w:sz w:val="20"/>
                <w:szCs w:val="20"/>
                <w:lang w:bidi="ar"/>
              </w:rPr>
              <w:t xml:space="preserve">304 不锈钢。 </w:t>
            </w:r>
          </w:p>
          <w:p w14:paraId="704B65CF">
            <w:pPr>
              <w:widowControl/>
              <w:spacing w:line="360" w:lineRule="atLeast"/>
              <w:jc w:val="left"/>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w:t>
            </w:r>
            <w:r>
              <w:rPr>
                <w:rFonts w:ascii="宋体" w:hAnsi="宋体" w:eastAsia="宋体" w:cs="宋体"/>
                <w:color w:val="000000"/>
                <w:kern w:val="0"/>
                <w:sz w:val="20"/>
                <w:szCs w:val="20"/>
                <w:lang w:bidi="ar"/>
              </w:rPr>
              <w:t xml:space="preserve">.2 </w:t>
            </w:r>
            <w:r>
              <w:rPr>
                <w:rFonts w:hint="eastAsia" w:ascii="宋体" w:hAnsi="宋体" w:eastAsia="宋体" w:cs="宋体"/>
                <w:color w:val="000000"/>
                <w:kern w:val="0"/>
                <w:sz w:val="20"/>
                <w:szCs w:val="20"/>
                <w:lang w:bidi="ar"/>
              </w:rPr>
              <w:t>双层滤袋</w:t>
            </w:r>
            <w:r>
              <w:rPr>
                <w:rFonts w:ascii="宋体" w:hAnsi="宋体" w:eastAsia="宋体" w:cs="宋体"/>
                <w:color w:val="000000"/>
                <w:kern w:val="0"/>
                <w:sz w:val="20"/>
                <w:szCs w:val="20"/>
                <w:lang w:bidi="ar"/>
              </w:rPr>
              <w:t>；布袋收尘 (布袋要求：防静电、防水、防油，表面覆膜 PTFE)；</w:t>
            </w:r>
            <w:r>
              <w:rPr>
                <w:rFonts w:hint="eastAsia" w:ascii="宋体" w:hAnsi="宋体" w:eastAsia="宋体" w:cs="宋体"/>
                <w:color w:val="000000"/>
                <w:kern w:val="0"/>
                <w:sz w:val="20"/>
                <w:szCs w:val="20"/>
                <w:lang w:bidi="ar"/>
              </w:rPr>
              <w:t>内外双层，导静电</w:t>
            </w:r>
            <w:r>
              <w:rPr>
                <w:rFonts w:ascii="宋体" w:hAnsi="宋体" w:eastAsia="宋体" w:cs="宋体"/>
                <w:color w:val="000000"/>
                <w:kern w:val="0"/>
                <w:sz w:val="20"/>
                <w:szCs w:val="20"/>
                <w:lang w:bidi="ar"/>
              </w:rPr>
              <w:t xml:space="preserve">。  </w:t>
            </w:r>
          </w:p>
          <w:p w14:paraId="178D9D74">
            <w:pPr>
              <w:widowControl/>
              <w:spacing w:line="360" w:lineRule="atLeast"/>
              <w:jc w:val="left"/>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w:t>
            </w:r>
            <w:r>
              <w:rPr>
                <w:rFonts w:ascii="宋体" w:hAnsi="宋体" w:eastAsia="宋体" w:cs="宋体"/>
                <w:color w:val="000000"/>
                <w:kern w:val="0"/>
                <w:sz w:val="20"/>
                <w:szCs w:val="20"/>
                <w:lang w:bidi="ar"/>
              </w:rPr>
              <w:t>.</w:t>
            </w:r>
            <w:r>
              <w:rPr>
                <w:rFonts w:hint="eastAsia" w:ascii="宋体" w:hAnsi="宋体" w:eastAsia="宋体" w:cs="宋体"/>
                <w:color w:val="000000"/>
                <w:kern w:val="0"/>
                <w:sz w:val="20"/>
                <w:szCs w:val="20"/>
                <w:lang w:bidi="ar"/>
              </w:rPr>
              <w:t>3</w:t>
            </w:r>
            <w:r>
              <w:rPr>
                <w:rFonts w:ascii="宋体" w:hAnsi="宋体" w:eastAsia="宋体" w:cs="宋体"/>
                <w:color w:val="000000"/>
                <w:kern w:val="0"/>
                <w:sz w:val="20"/>
                <w:szCs w:val="20"/>
                <w:lang w:bidi="ar"/>
              </w:rPr>
              <w:t xml:space="preserve"> </w:t>
            </w:r>
            <w:r>
              <w:rPr>
                <w:rFonts w:hint="eastAsia" w:ascii="宋体" w:hAnsi="宋体" w:eastAsia="宋体" w:cs="宋体"/>
                <w:color w:val="000000"/>
                <w:kern w:val="0"/>
                <w:sz w:val="20"/>
                <w:szCs w:val="20"/>
                <w:lang w:bidi="ar"/>
              </w:rPr>
              <w:t>料</w:t>
            </w:r>
            <w:r>
              <w:rPr>
                <w:rFonts w:ascii="宋体" w:hAnsi="宋体" w:eastAsia="宋体" w:cs="宋体"/>
                <w:color w:val="000000"/>
                <w:kern w:val="0"/>
                <w:sz w:val="20"/>
                <w:szCs w:val="20"/>
                <w:lang w:bidi="ar"/>
              </w:rPr>
              <w:t>罐</w:t>
            </w:r>
            <w:r>
              <w:rPr>
                <w:rFonts w:hint="eastAsia" w:ascii="宋体" w:hAnsi="宋体" w:eastAsia="宋体" w:cs="宋体"/>
                <w:color w:val="000000"/>
                <w:kern w:val="0"/>
                <w:sz w:val="20"/>
                <w:szCs w:val="20"/>
                <w:lang w:bidi="ar"/>
              </w:rPr>
              <w:t>：</w:t>
            </w:r>
            <w:r>
              <w:rPr>
                <w:rFonts w:ascii="宋体" w:hAnsi="宋体" w:eastAsia="宋体" w:cs="宋体"/>
                <w:color w:val="000000"/>
                <w:kern w:val="0"/>
                <w:sz w:val="20"/>
                <w:szCs w:val="20"/>
                <w:lang w:bidi="ar"/>
              </w:rPr>
              <w:t xml:space="preserve">接口尺寸：≥K119，容积：≥5000mL。 </w:t>
            </w:r>
          </w:p>
          <w:p w14:paraId="2EDE2A4E">
            <w:pPr>
              <w:widowControl/>
              <w:spacing w:line="360" w:lineRule="atLeast"/>
              <w:jc w:val="left"/>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w:t>
            </w:r>
            <w:r>
              <w:rPr>
                <w:rFonts w:ascii="宋体" w:hAnsi="宋体" w:eastAsia="宋体" w:cs="宋体"/>
                <w:color w:val="000000"/>
                <w:kern w:val="0"/>
                <w:sz w:val="20"/>
                <w:szCs w:val="20"/>
                <w:lang w:bidi="ar"/>
              </w:rPr>
              <w:t>.</w:t>
            </w:r>
            <w:r>
              <w:rPr>
                <w:rFonts w:hint="eastAsia" w:ascii="宋体" w:hAnsi="宋体" w:eastAsia="宋体" w:cs="宋体"/>
                <w:color w:val="000000"/>
                <w:kern w:val="0"/>
                <w:sz w:val="20"/>
                <w:szCs w:val="20"/>
                <w:lang w:bidi="ar"/>
              </w:rPr>
              <w:t>4</w:t>
            </w:r>
            <w:r>
              <w:rPr>
                <w:rFonts w:ascii="宋体" w:hAnsi="宋体" w:eastAsia="宋体" w:cs="宋体"/>
                <w:color w:val="000000"/>
                <w:kern w:val="0"/>
                <w:sz w:val="20"/>
                <w:szCs w:val="20"/>
                <w:lang w:bidi="ar"/>
              </w:rPr>
              <w:t xml:space="preserve"> 蝶阀：阀板</w:t>
            </w:r>
            <w:r>
              <w:rPr>
                <w:rFonts w:hint="eastAsia" w:ascii="宋体" w:hAnsi="宋体" w:eastAsia="宋体" w:cs="宋体"/>
                <w:color w:val="000000"/>
                <w:kern w:val="0"/>
                <w:sz w:val="20"/>
                <w:szCs w:val="20"/>
                <w:lang w:bidi="ar"/>
              </w:rPr>
              <w:t>材质不低于</w:t>
            </w:r>
            <w:r>
              <w:rPr>
                <w:rFonts w:ascii="宋体" w:hAnsi="宋体" w:eastAsia="宋体" w:cs="宋体"/>
                <w:color w:val="000000"/>
                <w:kern w:val="0"/>
                <w:sz w:val="20"/>
                <w:szCs w:val="20"/>
                <w:lang w:bidi="ar"/>
              </w:rPr>
              <w:t xml:space="preserve"> 304 不锈钢</w:t>
            </w:r>
            <w:r>
              <w:rPr>
                <w:rFonts w:hint="eastAsia" w:ascii="宋体" w:hAnsi="宋体" w:eastAsia="宋体" w:cs="宋体"/>
                <w:color w:val="000000"/>
                <w:kern w:val="0"/>
                <w:sz w:val="20"/>
                <w:szCs w:val="20"/>
                <w:lang w:bidi="ar"/>
              </w:rPr>
              <w:t>。</w:t>
            </w:r>
            <w:r>
              <w:rPr>
                <w:rFonts w:ascii="宋体" w:hAnsi="宋体" w:eastAsia="宋体" w:cs="宋体"/>
                <w:color w:val="000000"/>
                <w:kern w:val="0"/>
                <w:sz w:val="20"/>
                <w:szCs w:val="20"/>
                <w:lang w:bidi="ar"/>
              </w:rPr>
              <w:t xml:space="preserve"> </w:t>
            </w:r>
          </w:p>
          <w:p w14:paraId="1C09D0E6">
            <w:pPr>
              <w:keepNext w:val="0"/>
              <w:keepLines w:val="0"/>
              <w:widowControl/>
              <w:spacing w:line="360" w:lineRule="atLeast"/>
              <w:jc w:val="both"/>
              <w:outlineLvl w:val="1"/>
              <w:rPr>
                <w:rFonts w:ascii="Arial" w:hAnsi="Arial" w:eastAsia="宋体" w:cs="Times New Roman"/>
                <w:b w:val="0"/>
                <w:bCs w:val="0"/>
                <w:color w:val="000000"/>
                <w:kern w:val="2"/>
                <w:sz w:val="20"/>
                <w:szCs w:val="20"/>
                <w:lang w:val="en-US" w:eastAsia="zh-CN" w:bidi="ar-SA"/>
              </w:rPr>
            </w:pPr>
            <w:r>
              <w:rPr>
                <w:rFonts w:hint="eastAsia" w:ascii="宋体" w:hAnsi="宋体" w:eastAsia="宋体" w:cs="宋体"/>
                <w:b w:val="0"/>
                <w:bCs w:val="0"/>
                <w:color w:val="000000"/>
                <w:kern w:val="0"/>
                <w:sz w:val="20"/>
                <w:szCs w:val="20"/>
                <w:lang w:val="en-US" w:eastAsia="zh-CN" w:bidi="ar"/>
              </w:rPr>
              <w:t>8.</w:t>
            </w:r>
            <w:r>
              <w:rPr>
                <w:rFonts w:ascii="宋体" w:hAnsi="宋体" w:eastAsia="宋体" w:cs="宋体"/>
                <w:b w:val="0"/>
                <w:bCs w:val="0"/>
                <w:color w:val="000000"/>
                <w:kern w:val="0"/>
                <w:sz w:val="20"/>
                <w:szCs w:val="20"/>
                <w:lang w:val="en-US" w:eastAsia="zh-CN" w:bidi="ar"/>
              </w:rPr>
              <w:t>控</w:t>
            </w:r>
            <w:r>
              <w:rPr>
                <w:rFonts w:ascii="Arial" w:hAnsi="Arial" w:eastAsia="宋体" w:cs="Times New Roman"/>
                <w:b w:val="0"/>
                <w:bCs w:val="0"/>
                <w:color w:val="000000"/>
                <w:kern w:val="2"/>
                <w:sz w:val="20"/>
                <w:szCs w:val="20"/>
                <w:lang w:val="en-US" w:eastAsia="zh-CN" w:bidi="ar-SA"/>
              </w:rPr>
              <w:t>制柜与电控系统</w:t>
            </w:r>
          </w:p>
          <w:p w14:paraId="3F9FC3DF">
            <w:pPr>
              <w:widowControl/>
              <w:spacing w:line="360" w:lineRule="atLeast"/>
              <w:jc w:val="left"/>
              <w:rPr>
                <w:rFonts w:ascii="Times New Roman" w:hAnsi="Times New Roman" w:eastAsia="宋体" w:cs="Times New Roman"/>
                <w:color w:val="000000"/>
                <w:sz w:val="20"/>
                <w:szCs w:val="20"/>
              </w:rPr>
            </w:pPr>
            <w:r>
              <w:rPr>
                <w:rFonts w:hint="eastAsia" w:ascii="宋体" w:hAnsi="宋体" w:eastAsia="宋体" w:cs="宋体"/>
                <w:color w:val="000000"/>
                <w:kern w:val="0"/>
                <w:sz w:val="20"/>
                <w:szCs w:val="20"/>
                <w:lang w:bidi="ar"/>
              </w:rPr>
              <w:t>8.</w:t>
            </w:r>
            <w:r>
              <w:rPr>
                <w:rFonts w:ascii="宋体" w:hAnsi="宋体" w:eastAsia="宋体" w:cs="宋体"/>
                <w:color w:val="000000"/>
                <w:kern w:val="0"/>
                <w:sz w:val="20"/>
                <w:szCs w:val="20"/>
                <w:lang w:bidi="ar"/>
              </w:rPr>
              <w:t>1 电箱 1 个；PLC，真彩触摸显示屏≥</w:t>
            </w:r>
            <w:r>
              <w:rPr>
                <w:rFonts w:hint="eastAsia" w:ascii="宋体" w:hAnsi="宋体" w:eastAsia="宋体" w:cs="宋体"/>
                <w:color w:val="000000"/>
                <w:kern w:val="0"/>
                <w:sz w:val="20"/>
                <w:szCs w:val="20"/>
                <w:lang w:bidi="ar"/>
              </w:rPr>
              <w:t>10</w:t>
            </w:r>
            <w:r>
              <w:rPr>
                <w:rFonts w:ascii="宋体" w:hAnsi="宋体" w:eastAsia="宋体" w:cs="宋体"/>
                <w:color w:val="000000"/>
                <w:kern w:val="0"/>
                <w:sz w:val="20"/>
                <w:szCs w:val="20"/>
                <w:lang w:bidi="ar"/>
              </w:rPr>
              <w:t xml:space="preserve"> 寸，信号集中控制；工艺流程动态显示，故障自动报警，有效控制粉碎过程，保证成品的稳定性，集成整条产线的联动控制系统，提供 PLC 集成的图片。</w:t>
            </w:r>
          </w:p>
          <w:p w14:paraId="6F2A2451">
            <w:pPr>
              <w:widowControl/>
              <w:spacing w:line="360" w:lineRule="atLeast"/>
              <w:jc w:val="left"/>
              <w:rPr>
                <w:rFonts w:hint="eastAsia" w:ascii="宋体" w:hAnsi="宋体" w:eastAsia="宋体" w:cs="宋体"/>
                <w:color w:val="000000"/>
                <w:kern w:val="0"/>
                <w:sz w:val="20"/>
                <w:szCs w:val="20"/>
                <w:lang w:bidi="ar"/>
              </w:rPr>
            </w:pPr>
            <w:r>
              <w:rPr>
                <w:rFonts w:hint="eastAsia" w:ascii="Times New Roman" w:hAnsi="Times New Roman" w:eastAsia="宋体" w:cs="Times New Roman"/>
                <w:color w:val="000000"/>
                <w:sz w:val="20"/>
                <w:szCs w:val="20"/>
              </w:rPr>
              <w:t>9.</w:t>
            </w:r>
            <w:r>
              <w:rPr>
                <w:rFonts w:ascii="Times New Roman" w:hAnsi="Times New Roman" w:eastAsia="宋体" w:cs="Times New Roman"/>
                <w:color w:val="000000"/>
                <w:sz w:val="20"/>
                <w:szCs w:val="20"/>
              </w:rPr>
              <w:t>连接管道、阀门、平台通用要求</w:t>
            </w:r>
            <w:r>
              <w:rPr>
                <w:rFonts w:hint="eastAsia" w:ascii="Times New Roman" w:hAnsi="Times New Roman" w:eastAsia="宋体" w:cs="Times New Roman"/>
                <w:color w:val="000000"/>
                <w:sz w:val="20"/>
                <w:szCs w:val="20"/>
              </w:rPr>
              <w:t>：</w:t>
            </w:r>
            <w:r>
              <w:rPr>
                <w:rFonts w:ascii="宋体" w:hAnsi="宋体" w:eastAsia="宋体" w:cs="宋体"/>
                <w:color w:val="000000"/>
                <w:kern w:val="0"/>
                <w:sz w:val="20"/>
                <w:szCs w:val="20"/>
                <w:lang w:bidi="ar"/>
              </w:rPr>
              <w:t>整套设备中，所有的管道均使用</w:t>
            </w:r>
            <w:r>
              <w:rPr>
                <w:rFonts w:hint="eastAsia" w:ascii="宋体" w:hAnsi="宋体" w:eastAsia="宋体" w:cs="宋体"/>
                <w:color w:val="000000"/>
                <w:kern w:val="0"/>
                <w:sz w:val="20"/>
                <w:szCs w:val="20"/>
                <w:lang w:bidi="ar"/>
              </w:rPr>
              <w:t>不低于</w:t>
            </w:r>
            <w:r>
              <w:rPr>
                <w:rFonts w:ascii="宋体" w:hAnsi="宋体" w:eastAsia="宋体" w:cs="宋体"/>
                <w:color w:val="000000"/>
                <w:kern w:val="0"/>
                <w:sz w:val="20"/>
                <w:szCs w:val="20"/>
                <w:lang w:bidi="ar"/>
              </w:rPr>
              <w:t>304不锈钢。</w:t>
            </w:r>
          </w:p>
          <w:p w14:paraId="3EC01D41">
            <w:pPr>
              <w:widowControl/>
              <w:spacing w:line="360" w:lineRule="atLeast"/>
              <w:jc w:val="left"/>
              <w:rPr>
                <w:rFonts w:hint="eastAsia" w:ascii="宋体" w:hAnsi="宋体" w:eastAsia="宋体" w:cs="宋体"/>
                <w:color w:val="000000"/>
                <w:sz w:val="20"/>
                <w:szCs w:val="20"/>
              </w:rPr>
            </w:pPr>
            <w:r>
              <w:rPr>
                <w:rFonts w:hint="eastAsia" w:ascii="Times New Roman" w:hAnsi="Times New Roman" w:eastAsia="宋体" w:cs="Times New Roman"/>
                <w:color w:val="000000"/>
                <w:sz w:val="20"/>
                <w:szCs w:val="20"/>
              </w:rPr>
              <w:t>10.</w:t>
            </w:r>
            <w:r>
              <w:rPr>
                <w:rFonts w:ascii="Times New Roman" w:hAnsi="Times New Roman" w:eastAsia="宋体" w:cs="Times New Roman"/>
                <w:color w:val="000000"/>
                <w:sz w:val="20"/>
                <w:szCs w:val="20"/>
              </w:rPr>
              <w:t>仪表配套</w:t>
            </w:r>
            <w:r>
              <w:rPr>
                <w:rFonts w:hint="eastAsia" w:ascii="Times New Roman" w:hAnsi="Times New Roman" w:eastAsia="宋体" w:cs="Times New Roman"/>
                <w:color w:val="000000"/>
                <w:sz w:val="20"/>
                <w:szCs w:val="20"/>
              </w:rPr>
              <w:t>：</w:t>
            </w:r>
            <w:r>
              <w:rPr>
                <w:rFonts w:hint="eastAsia" w:ascii="宋体" w:hAnsi="宋体" w:eastAsia="宋体" w:cs="宋体"/>
                <w:color w:val="000000"/>
                <w:kern w:val="0"/>
                <w:sz w:val="20"/>
                <w:szCs w:val="20"/>
                <w:lang w:bidi="ar"/>
              </w:rPr>
              <w:t>包括但不限于</w:t>
            </w:r>
            <w:r>
              <w:rPr>
                <w:rFonts w:ascii="宋体" w:hAnsi="宋体" w:eastAsia="宋体" w:cs="宋体"/>
                <w:color w:val="000000"/>
                <w:kern w:val="0"/>
                <w:sz w:val="20"/>
                <w:szCs w:val="20"/>
                <w:lang w:bidi="ar"/>
              </w:rPr>
              <w:t>露点仪、压力变送器、氧含量分析仪</w:t>
            </w:r>
            <w:r>
              <w:rPr>
                <w:rFonts w:hint="eastAsia" w:ascii="宋体" w:hAnsi="宋体" w:eastAsia="宋体" w:cs="宋体"/>
                <w:color w:val="000000"/>
                <w:kern w:val="0"/>
                <w:sz w:val="20"/>
                <w:szCs w:val="20"/>
                <w:lang w:bidi="ar"/>
              </w:rPr>
              <w:t>、</w:t>
            </w:r>
            <w:r>
              <w:rPr>
                <w:rFonts w:ascii="宋体" w:hAnsi="宋体" w:eastAsia="宋体" w:cs="宋体"/>
                <w:color w:val="000000"/>
                <w:kern w:val="0"/>
                <w:sz w:val="20"/>
                <w:szCs w:val="20"/>
                <w:lang w:bidi="ar"/>
              </w:rPr>
              <w:t>安保应急过滤器</w:t>
            </w:r>
            <w:r>
              <w:rPr>
                <w:rFonts w:hint="eastAsia" w:ascii="宋体" w:hAnsi="宋体" w:eastAsia="宋体" w:cs="宋体"/>
                <w:color w:val="000000"/>
                <w:kern w:val="0"/>
                <w:sz w:val="20"/>
                <w:szCs w:val="20"/>
                <w:lang w:bidi="ar"/>
              </w:rPr>
              <w:t>（</w:t>
            </w:r>
            <w:r>
              <w:rPr>
                <w:rFonts w:ascii="宋体" w:hAnsi="宋体" w:eastAsia="宋体" w:cs="宋体"/>
                <w:color w:val="000000"/>
                <w:kern w:val="0"/>
                <w:sz w:val="20"/>
                <w:szCs w:val="20"/>
                <w:lang w:bidi="ar"/>
              </w:rPr>
              <w:t>1个</w:t>
            </w:r>
            <w:r>
              <w:rPr>
                <w:rFonts w:hint="eastAsia" w:ascii="宋体" w:hAnsi="宋体" w:eastAsia="宋体" w:cs="宋体"/>
                <w:color w:val="000000"/>
                <w:kern w:val="0"/>
                <w:sz w:val="20"/>
                <w:szCs w:val="20"/>
                <w:lang w:bidi="ar"/>
              </w:rPr>
              <w:t>，不低于</w:t>
            </w:r>
            <w:r>
              <w:rPr>
                <w:rFonts w:ascii="宋体" w:hAnsi="宋体" w:eastAsia="宋体" w:cs="宋体"/>
                <w:color w:val="000000"/>
                <w:kern w:val="0"/>
                <w:sz w:val="20"/>
                <w:szCs w:val="20"/>
                <w:lang w:bidi="ar"/>
              </w:rPr>
              <w:t>304不锈钢</w:t>
            </w:r>
            <w:r>
              <w:rPr>
                <w:rFonts w:hint="eastAsia" w:ascii="宋体" w:hAnsi="宋体" w:eastAsia="宋体" w:cs="宋体"/>
                <w:color w:val="000000"/>
                <w:kern w:val="0"/>
                <w:sz w:val="20"/>
                <w:szCs w:val="20"/>
                <w:lang w:bidi="ar"/>
              </w:rPr>
              <w:t>）等。</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F1AC1">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25DA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60971FC8">
        <w:tblPrEx>
          <w:tblCellMar>
            <w:top w:w="0" w:type="dxa"/>
            <w:left w:w="108" w:type="dxa"/>
            <w:bottom w:w="0" w:type="dxa"/>
            <w:right w:w="108" w:type="dxa"/>
          </w:tblCellMar>
        </w:tblPrEx>
        <w:trPr>
          <w:trHeight w:val="433"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D6E3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29</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95D24">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高温箱式气氛炉</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3EE6F3FD">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1.平行侧开式炉门，使热端远离操作。</w:t>
            </w:r>
          </w:p>
          <w:p w14:paraId="3D2AF67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2.开门断电，复电延时，确保安全。</w:t>
            </w:r>
          </w:p>
          <w:p w14:paraId="343D3C7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3.双壳体空气隔热，轴流风机强制散热降温速度快，表面温度低。</w:t>
            </w:r>
          </w:p>
          <w:p w14:paraId="2C45A54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4.排气装置，利于灰化。</w:t>
            </w:r>
          </w:p>
          <w:p w14:paraId="06E18A6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5.使用温度范围：最高1400℃。</w:t>
            </w:r>
          </w:p>
          <w:p w14:paraId="1587587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6.控温精度：≤±1℃。</w:t>
            </w:r>
          </w:p>
          <w:p w14:paraId="0459151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7.温度分辨率：≤1℃。</w:t>
            </w:r>
          </w:p>
          <w:p w14:paraId="688BAB2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8.升温时间：≤35min。</w:t>
            </w:r>
          </w:p>
          <w:p w14:paraId="513140F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9.外装：压花不锈钢。</w:t>
            </w:r>
          </w:p>
          <w:p w14:paraId="699743F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10.炉膛体：多晶莫来石纤维。</w:t>
            </w:r>
          </w:p>
          <w:p w14:paraId="6B171F9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11.排气孔：外径不小于φ22mm，内径不小于φ18mm。</w:t>
            </w:r>
          </w:p>
          <w:p w14:paraId="7123BAE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12.加热器：硅碳棒。</w:t>
            </w:r>
          </w:p>
          <w:p w14:paraId="02C6CC4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13.加热功率：≥14kW。</w:t>
            </w:r>
          </w:p>
          <w:p w14:paraId="1F97597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14.控制方式：使用微电脑PID控制。</w:t>
            </w:r>
          </w:p>
          <w:p w14:paraId="0C511C3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15.显示方式：双行LED数字显示。</w:t>
            </w:r>
          </w:p>
          <w:p w14:paraId="1EB4CBA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16.定时：0h～999.9h。</w:t>
            </w:r>
          </w:p>
          <w:p w14:paraId="18F6167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17.运行功能：具备定值运行和程序运行。</w:t>
            </w:r>
          </w:p>
          <w:p w14:paraId="33C9C28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18.安全装置：过流漏电保护开关。</w:t>
            </w:r>
          </w:p>
          <w:p w14:paraId="5E389E5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19.内容积：≥36L。</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E6B2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0CBC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10FCBA0C">
        <w:tblPrEx>
          <w:tblCellMar>
            <w:top w:w="0" w:type="dxa"/>
            <w:left w:w="108" w:type="dxa"/>
            <w:bottom w:w="0" w:type="dxa"/>
            <w:right w:w="108" w:type="dxa"/>
          </w:tblCellMar>
        </w:tblPrEx>
        <w:trPr>
          <w:trHeight w:val="10200"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B3139">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30</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C0AF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紫外可见分光光度计</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318D3C23">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1.工作环境</w:t>
            </w:r>
          </w:p>
          <w:p w14:paraId="1248CA1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1.1工作温度至少包括：15℃-35℃。</w:t>
            </w:r>
          </w:p>
          <w:p w14:paraId="0D7E3AE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1.2工作湿度至少包括：20%-80％。</w:t>
            </w:r>
          </w:p>
          <w:p w14:paraId="3EA6D2F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2.总则：主要用于光谱，吸光度，浓度分析，化妆品UVA、UVB测定、颜色分析等。</w:t>
            </w:r>
          </w:p>
          <w:p w14:paraId="20F80AC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3.机器规格</w:t>
            </w:r>
          </w:p>
          <w:p w14:paraId="66C30F5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3.1光学系统：带有微电脑电子元件的双光束测量紫外/可见分光光度计。</w:t>
            </w:r>
          </w:p>
          <w:p w14:paraId="6431927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3.2光源：预校准氘灯和碘钨灯，软件控制光源自动切换，可选择切换位置。</w:t>
            </w:r>
          </w:p>
          <w:p w14:paraId="5CCDC39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3.3波长范围至少包括：190nm-1100nm。</w:t>
            </w:r>
          </w:p>
          <w:p w14:paraId="5CD54D3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3.4带宽至少包括：0.5</w:t>
            </w:r>
            <w:r>
              <w:rPr>
                <w:rFonts w:ascii="Times New Roman" w:hAnsi="Times New Roman" w:eastAsia="宋体" w:cs="Times New Roman"/>
              </w:rPr>
              <w:t xml:space="preserve"> </w:t>
            </w:r>
            <w:r>
              <w:rPr>
                <w:rFonts w:ascii="宋体" w:hAnsi="宋体" w:eastAsia="宋体" w:cs="宋体"/>
                <w:color w:val="000000"/>
                <w:kern w:val="0"/>
                <w:sz w:val="20"/>
                <w:szCs w:val="20"/>
                <w:lang w:bidi="ar"/>
              </w:rPr>
              <w:t>nm</w:t>
            </w:r>
            <w:r>
              <w:rPr>
                <w:rFonts w:hint="eastAsia" w:ascii="宋体" w:hAnsi="宋体" w:eastAsia="宋体" w:cs="宋体"/>
                <w:color w:val="000000"/>
                <w:kern w:val="0"/>
                <w:sz w:val="20"/>
                <w:szCs w:val="20"/>
                <w:lang w:bidi="ar"/>
              </w:rPr>
              <w:t>、1.0</w:t>
            </w:r>
            <w:r>
              <w:rPr>
                <w:rFonts w:ascii="Times New Roman" w:hAnsi="Times New Roman" w:eastAsia="宋体" w:cs="Times New Roman"/>
              </w:rPr>
              <w:t xml:space="preserve"> </w:t>
            </w:r>
            <w:r>
              <w:rPr>
                <w:rFonts w:ascii="宋体" w:hAnsi="宋体" w:eastAsia="宋体" w:cs="宋体"/>
                <w:color w:val="000000"/>
                <w:kern w:val="0"/>
                <w:sz w:val="20"/>
                <w:szCs w:val="20"/>
                <w:lang w:bidi="ar"/>
              </w:rPr>
              <w:t>nm</w:t>
            </w:r>
            <w:r>
              <w:rPr>
                <w:rFonts w:hint="eastAsia" w:ascii="宋体" w:hAnsi="宋体" w:eastAsia="宋体" w:cs="宋体"/>
                <w:color w:val="000000"/>
                <w:kern w:val="0"/>
                <w:sz w:val="20"/>
                <w:szCs w:val="20"/>
                <w:lang w:bidi="ar"/>
              </w:rPr>
              <w:t>、2.0</w:t>
            </w:r>
            <w:r>
              <w:rPr>
                <w:rFonts w:ascii="Times New Roman" w:hAnsi="Times New Roman" w:eastAsia="宋体" w:cs="Times New Roman"/>
              </w:rPr>
              <w:t xml:space="preserve"> </w:t>
            </w:r>
            <w:r>
              <w:rPr>
                <w:rFonts w:ascii="宋体" w:hAnsi="宋体" w:eastAsia="宋体" w:cs="宋体"/>
                <w:color w:val="000000"/>
                <w:kern w:val="0"/>
                <w:sz w:val="20"/>
                <w:szCs w:val="20"/>
                <w:lang w:bidi="ar"/>
              </w:rPr>
              <w:t>nm</w:t>
            </w:r>
            <w:r>
              <w:rPr>
                <w:rFonts w:hint="eastAsia" w:ascii="宋体" w:hAnsi="宋体" w:eastAsia="宋体" w:cs="宋体"/>
                <w:color w:val="000000"/>
                <w:kern w:val="0"/>
                <w:sz w:val="20"/>
                <w:szCs w:val="20"/>
                <w:lang w:bidi="ar"/>
              </w:rPr>
              <w:t>、5.0</w:t>
            </w:r>
            <w:r>
              <w:rPr>
                <w:rFonts w:ascii="Times New Roman" w:hAnsi="Times New Roman" w:eastAsia="宋体" w:cs="Times New Roman"/>
              </w:rPr>
              <w:t xml:space="preserve"> </w:t>
            </w:r>
            <w:r>
              <w:rPr>
                <w:rFonts w:ascii="宋体" w:hAnsi="宋体" w:eastAsia="宋体" w:cs="宋体"/>
                <w:color w:val="000000"/>
                <w:kern w:val="0"/>
                <w:sz w:val="20"/>
                <w:szCs w:val="20"/>
                <w:lang w:bidi="ar"/>
              </w:rPr>
              <w:t>nm</w:t>
            </w:r>
            <w:r>
              <w:rPr>
                <w:rFonts w:hint="eastAsia" w:ascii="宋体" w:hAnsi="宋体" w:eastAsia="宋体" w:cs="宋体"/>
                <w:color w:val="000000"/>
                <w:kern w:val="0"/>
                <w:sz w:val="20"/>
                <w:szCs w:val="20"/>
                <w:lang w:bidi="ar"/>
              </w:rPr>
              <w:t>、20nm。</w:t>
            </w:r>
          </w:p>
          <w:p w14:paraId="7DFF731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3.5杂散光：≤0.01%。</w:t>
            </w:r>
          </w:p>
          <w:p w14:paraId="4BEF4A3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3.6波长精度：±0.1nm。</w:t>
            </w:r>
          </w:p>
          <w:p w14:paraId="35FE17F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3.7波长重复性：±0.05nm。</w:t>
            </w:r>
          </w:p>
          <w:p w14:paraId="6FEB04B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3.8光度计精度：±0.002A。</w:t>
            </w:r>
          </w:p>
          <w:p w14:paraId="26220A4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3.9光度计重复性：≤0.0001A。</w:t>
            </w:r>
          </w:p>
          <w:p w14:paraId="02F1E9A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3.10稳定性：≤0.0003A/h。</w:t>
            </w:r>
          </w:p>
          <w:p w14:paraId="159CFED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3.11.基线平直：±0.0005A。</w:t>
            </w:r>
          </w:p>
          <w:p w14:paraId="42EA264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3.12噪声水平：≤0.00005A。</w:t>
            </w:r>
          </w:p>
          <w:p w14:paraId="2BCC236D">
            <w:pPr>
              <w:widowControl w:val="0"/>
              <w:jc w:val="left"/>
              <w:rPr>
                <w:rFonts w:hint="eastAsia" w:ascii="宋体" w:hAnsi="宋体" w:eastAsia="宋体" w:cs="宋体"/>
                <w:b/>
                <w:bCs/>
                <w:color w:val="000000"/>
                <w:kern w:val="0"/>
                <w:sz w:val="21"/>
                <w:szCs w:val="21"/>
                <w:lang w:val="en-US" w:eastAsia="zh-CN" w:bidi="ar"/>
              </w:rPr>
            </w:pPr>
            <w:r>
              <w:rPr>
                <w:rFonts w:hint="eastAsia" w:ascii="宋体" w:hAnsi="宋体" w:eastAsia="宋体" w:cs="宋体"/>
                <w:color w:val="000000"/>
                <w:kern w:val="0"/>
                <w:sz w:val="20"/>
                <w:szCs w:val="20"/>
                <w:lang w:val="en-US" w:eastAsia="zh-CN" w:bidi="ar"/>
              </w:rPr>
              <w:t>▲3.13检测器：具有宽范围的固体检测器，非光电倍增管</w:t>
            </w:r>
            <w:r>
              <w:rPr>
                <w:rFonts w:hint="eastAsia" w:ascii="宋体" w:hAnsi="宋体" w:eastAsia="宋体" w:cs="宋体"/>
                <w:b/>
                <w:bCs/>
                <w:color w:val="000000"/>
                <w:kern w:val="0"/>
                <w:sz w:val="21"/>
                <w:szCs w:val="21"/>
                <w:lang w:val="en-US" w:eastAsia="zh-CN" w:bidi="ar"/>
              </w:rPr>
              <w:t>（提供产品彩页宣传手册复印件或产品官网描述截图或产品白皮书等相关证明材料并加盖投标人公章，相关证明材料须在权威公开的网站可查询，并提供查询截图）。</w:t>
            </w:r>
          </w:p>
          <w:p w14:paraId="5177E31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3.14扫描速度至少包括：7.5nm/min-12000nm/min可调。</w:t>
            </w:r>
          </w:p>
          <w:p w14:paraId="7F4ECE2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3.15光度范围：±4A。</w:t>
            </w:r>
          </w:p>
          <w:p w14:paraId="0D488DB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4.软件操作系统</w:t>
            </w:r>
          </w:p>
          <w:p w14:paraId="337222A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4.1基本功能：可外接PC，WINDOWS下操作，具有控制仪器、数据处理、自动制作报告的多重功能。</w:t>
            </w:r>
          </w:p>
          <w:p w14:paraId="3CA8A48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4.2制作标准曲线求浓度大小，显示标准曲线的相关系数及方程式。</w:t>
            </w:r>
          </w:p>
          <w:p w14:paraId="2CBCC7E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5.配置要求</w:t>
            </w:r>
          </w:p>
          <w:p w14:paraId="614DC23B">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5.1设备主机      1套</w:t>
            </w:r>
          </w:p>
          <w:p w14:paraId="7F213F0D">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5.2石英比色皿    2个</w:t>
            </w:r>
          </w:p>
          <w:p w14:paraId="397CCBF6">
            <w:pPr>
              <w:widowControl/>
              <w:jc w:val="left"/>
              <w:textAlignment w:val="top"/>
              <w:rPr>
                <w:rFonts w:ascii="Times New Roman" w:hAnsi="Times New Roman" w:eastAsia="宋体" w:cs="Times New Roman"/>
                <w:lang w:bidi="ar"/>
              </w:rPr>
            </w:pPr>
            <w:r>
              <w:rPr>
                <w:rFonts w:hint="eastAsia" w:ascii="宋体" w:hAnsi="宋体" w:eastAsia="宋体" w:cs="Times New Roman"/>
                <w:lang w:bidi="ar"/>
              </w:rPr>
              <w:t>5.3配置现场数据处理终端，能够安装仪器运行所需的操作软件，并能完成数据处理和输出。</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96820">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C393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30742735">
        <w:tblPrEx>
          <w:tblCellMar>
            <w:top w:w="0" w:type="dxa"/>
            <w:left w:w="108" w:type="dxa"/>
            <w:bottom w:w="0" w:type="dxa"/>
            <w:right w:w="108" w:type="dxa"/>
          </w:tblCellMar>
        </w:tblPrEx>
        <w:trPr>
          <w:trHeight w:val="1991"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A0C84">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31</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EF999">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微波闭式消解仪</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55FA2DA9">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1.测量范围：CODcr:5</w:t>
            </w:r>
            <w:r>
              <w:rPr>
                <w:rFonts w:ascii="Times New Roman" w:hAnsi="Times New Roman" w:eastAsia="宋体" w:cs="Times New Roman"/>
              </w:rPr>
              <w:t xml:space="preserve"> </w:t>
            </w:r>
            <w:r>
              <w:rPr>
                <w:rFonts w:ascii="宋体" w:hAnsi="宋体" w:eastAsia="宋体" w:cs="宋体"/>
                <w:color w:val="000000"/>
                <w:kern w:val="0"/>
                <w:sz w:val="20"/>
                <w:szCs w:val="20"/>
                <w:lang w:bidi="ar"/>
              </w:rPr>
              <w:t>mg/L</w:t>
            </w:r>
            <w:r>
              <w:rPr>
                <w:rFonts w:hint="eastAsia" w:ascii="宋体" w:hAnsi="宋体" w:eastAsia="宋体" w:cs="宋体"/>
                <w:color w:val="000000"/>
                <w:kern w:val="0"/>
                <w:sz w:val="20"/>
                <w:szCs w:val="20"/>
                <w:lang w:bidi="ar"/>
              </w:rPr>
              <w:t>-2500mg/L，TP:0.01</w:t>
            </w:r>
            <w:r>
              <w:rPr>
                <w:rFonts w:ascii="Times New Roman" w:hAnsi="Times New Roman" w:eastAsia="宋体" w:cs="Times New Roman"/>
              </w:rPr>
              <w:t xml:space="preserve"> </w:t>
            </w:r>
            <w:r>
              <w:rPr>
                <w:rFonts w:ascii="宋体" w:hAnsi="宋体" w:eastAsia="宋体" w:cs="宋体"/>
                <w:color w:val="000000"/>
                <w:kern w:val="0"/>
                <w:sz w:val="20"/>
                <w:szCs w:val="20"/>
                <w:lang w:bidi="ar"/>
              </w:rPr>
              <w:t>mg/L</w:t>
            </w:r>
            <w:r>
              <w:rPr>
                <w:rFonts w:hint="eastAsia" w:ascii="宋体" w:hAnsi="宋体" w:eastAsia="宋体" w:cs="宋体"/>
                <w:color w:val="000000"/>
                <w:kern w:val="0"/>
                <w:sz w:val="20"/>
                <w:szCs w:val="20"/>
                <w:lang w:bidi="ar"/>
              </w:rPr>
              <w:t>-0.6mg/L，TN:0.05</w:t>
            </w:r>
            <w:r>
              <w:rPr>
                <w:rFonts w:ascii="Times New Roman" w:hAnsi="Times New Roman" w:eastAsia="宋体" w:cs="Times New Roman"/>
              </w:rPr>
              <w:t xml:space="preserve"> </w:t>
            </w:r>
            <w:r>
              <w:rPr>
                <w:rFonts w:ascii="宋体" w:hAnsi="宋体" w:eastAsia="宋体" w:cs="宋体"/>
                <w:color w:val="000000"/>
                <w:kern w:val="0"/>
                <w:sz w:val="20"/>
                <w:szCs w:val="20"/>
                <w:lang w:bidi="ar"/>
              </w:rPr>
              <w:t>mg/L</w:t>
            </w:r>
            <w:r>
              <w:rPr>
                <w:rFonts w:hint="eastAsia" w:ascii="宋体" w:hAnsi="宋体" w:eastAsia="宋体" w:cs="宋体"/>
                <w:color w:val="000000"/>
                <w:kern w:val="0"/>
                <w:sz w:val="20"/>
                <w:szCs w:val="20"/>
                <w:lang w:bidi="ar"/>
              </w:rPr>
              <w:t>-4mg/L；CODcr抗氯离子干扰能力≤10000mg/L。</w:t>
            </w:r>
          </w:p>
          <w:p w14:paraId="79B6866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2.精密度：CODcr值在80</w:t>
            </w:r>
            <w:r>
              <w:rPr>
                <w:rFonts w:ascii="Times New Roman" w:hAnsi="Times New Roman" w:eastAsia="宋体" w:cs="Times New Roman"/>
              </w:rPr>
              <w:t xml:space="preserve"> </w:t>
            </w:r>
            <w:r>
              <w:rPr>
                <w:rFonts w:ascii="宋体" w:hAnsi="宋体" w:eastAsia="宋体" w:cs="宋体"/>
                <w:color w:val="000000"/>
                <w:kern w:val="0"/>
                <w:sz w:val="20"/>
                <w:szCs w:val="20"/>
                <w:lang w:bidi="ar"/>
              </w:rPr>
              <w:t>mg/L</w:t>
            </w:r>
            <w:r>
              <w:rPr>
                <w:rFonts w:hint="eastAsia" w:ascii="宋体" w:hAnsi="宋体" w:eastAsia="宋体" w:cs="宋体"/>
                <w:color w:val="000000"/>
                <w:kern w:val="0"/>
                <w:sz w:val="20"/>
                <w:szCs w:val="20"/>
                <w:lang w:bidi="ar"/>
              </w:rPr>
              <w:t>-150mg/L时：室内相对标准偏差≤4.3%，室间相对标准偏差≤5.0%；TP、TN能满足国家标准(GB11889-11915-89)水质词汇(第3-7部分)与分析方法的要求。</w:t>
            </w:r>
          </w:p>
          <w:p w14:paraId="6A4E3D3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3.准确度：CODcr于经典回流法比对，相关系数r＞0.999；TP、TN与标准方法比对,相关系数r＞0.999。</w:t>
            </w:r>
          </w:p>
          <w:p w14:paraId="568F11C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4.消解样品数量(每炉次)：标准配置6个。</w:t>
            </w:r>
          </w:p>
          <w:p w14:paraId="49A95B2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5.消解时间：5min-16min。</w:t>
            </w:r>
          </w:p>
          <w:p w14:paraId="011BB86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6.微波工作频率：≥2450MHz。</w:t>
            </w:r>
          </w:p>
          <w:p w14:paraId="1F7ED05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7.额定输入功率：≥1450W(最大)。</w:t>
            </w:r>
          </w:p>
          <w:p w14:paraId="5F0C646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8.微波输出功率：≥900W。</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519AC">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6D7D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22541EC4">
        <w:tblPrEx>
          <w:tblCellMar>
            <w:top w:w="0" w:type="dxa"/>
            <w:left w:w="108" w:type="dxa"/>
            <w:bottom w:w="0" w:type="dxa"/>
            <w:right w:w="108" w:type="dxa"/>
          </w:tblCellMar>
        </w:tblPrEx>
        <w:trPr>
          <w:trHeight w:val="706"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0E1A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32</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D0BB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pH计</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2EA691A5">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1.技术参数</w:t>
            </w:r>
          </w:p>
          <w:p w14:paraId="472E229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 pH</w:t>
            </w:r>
          </w:p>
          <w:p w14:paraId="4FF19E7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测量范围：0-14</w:t>
            </w:r>
          </w:p>
          <w:p w14:paraId="03585FF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可读性：0.01</w:t>
            </w:r>
          </w:p>
          <w:p w14:paraId="70667DC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精度：±0.01</w:t>
            </w:r>
          </w:p>
          <w:p w14:paraId="26F4A04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 mV</w:t>
            </w:r>
          </w:p>
          <w:p w14:paraId="11B57AD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测量范围：-1500.0</w:t>
            </w:r>
            <w:r>
              <w:rPr>
                <w:rFonts w:ascii="Times New Roman" w:hAnsi="Times New Roman" w:eastAsia="宋体" w:cs="Times New Roman"/>
              </w:rPr>
              <w:t xml:space="preserve"> </w:t>
            </w:r>
            <w:r>
              <w:rPr>
                <w:rFonts w:ascii="宋体" w:hAnsi="宋体" w:eastAsia="宋体" w:cs="宋体"/>
                <w:color w:val="000000"/>
                <w:kern w:val="0"/>
                <w:sz w:val="20"/>
                <w:szCs w:val="20"/>
                <w:lang w:bidi="ar"/>
              </w:rPr>
              <w:t>mV</w:t>
            </w:r>
            <w:r>
              <w:rPr>
                <w:rFonts w:hint="eastAsia" w:ascii="宋体" w:hAnsi="宋体" w:eastAsia="宋体" w:cs="宋体"/>
                <w:color w:val="000000"/>
                <w:kern w:val="0"/>
                <w:sz w:val="20"/>
                <w:szCs w:val="20"/>
                <w:lang w:bidi="ar"/>
              </w:rPr>
              <w:t>-1500.0mV</w:t>
            </w:r>
          </w:p>
          <w:p w14:paraId="7A375D8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可读性：0.1mV</w:t>
            </w:r>
          </w:p>
          <w:p w14:paraId="390BFDC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精度：±0.4 mV</w:t>
            </w:r>
          </w:p>
          <w:p w14:paraId="1C1481C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1.3 温度</w:t>
            </w:r>
          </w:p>
          <w:p w14:paraId="59C2B29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测量范围： -5.0℃-105.0℃。</w:t>
            </w:r>
          </w:p>
          <w:p w14:paraId="1D4B014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可读性：≥ 0.1℃。</w:t>
            </w:r>
          </w:p>
          <w:p w14:paraId="617D159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准确度：±0.2℃。</w:t>
            </w:r>
          </w:p>
          <w:p w14:paraId="16B284B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1.4 校准点: 最多三种缓冲液。</w:t>
            </w:r>
          </w:p>
          <w:p w14:paraId="599B580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自动识别16种缓冲液</w:t>
            </w:r>
          </w:p>
          <w:p w14:paraId="378CA05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2, 4, 7, 10, 12</w:t>
            </w:r>
          </w:p>
          <w:p w14:paraId="28F0125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1, 3, 6, 8, 10, 13</w:t>
            </w:r>
          </w:p>
          <w:p w14:paraId="1CFD045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1.68, 4.01, 6.86, 9.18, 12.46</w:t>
            </w:r>
          </w:p>
          <w:p w14:paraId="319CBBA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1.5电极校准斜率范围：90%-105%。</w:t>
            </w:r>
          </w:p>
          <w:p w14:paraId="64D6B52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1.6全自动显示电极斜率及使用状态。</w:t>
            </w:r>
          </w:p>
          <w:p w14:paraId="1BF1673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1.7自动温度补偿（ATC）。</w:t>
            </w:r>
          </w:p>
          <w:p w14:paraId="1710DFE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1.8可选的测量单位 pH、 mV 和 RmV（相对mV值）。</w:t>
            </w:r>
          </w:p>
          <w:p w14:paraId="7D6B5D1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1.9电极接口：BNC。</w:t>
            </w:r>
          </w:p>
          <w:p w14:paraId="1AE00F7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2.特点</w:t>
            </w:r>
          </w:p>
          <w:p w14:paraId="20BDC0F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2.1 LCD屏显示</w:t>
            </w:r>
          </w:p>
          <w:p w14:paraId="2AA085D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2.2 全自动温度补偿功能。</w:t>
            </w:r>
          </w:p>
          <w:p w14:paraId="6B3A84B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2.3三点校准，自动识别三组校准缓冲液，具有一键校准功能。</w:t>
            </w:r>
          </w:p>
          <w:p w14:paraId="3F01EF2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2.4稳定符号，表示读数已达稳定。</w:t>
            </w:r>
          </w:p>
          <w:p w14:paraId="48410F2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2.5直接以mV 或pH 方式读取测量值。</w:t>
            </w:r>
          </w:p>
          <w:p w14:paraId="02F000E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2.6配送三合一电极。</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033D4">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11A8C">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289F93F7">
        <w:tblPrEx>
          <w:tblCellMar>
            <w:top w:w="0" w:type="dxa"/>
            <w:left w:w="108" w:type="dxa"/>
            <w:bottom w:w="0" w:type="dxa"/>
            <w:right w:w="108" w:type="dxa"/>
          </w:tblCellMar>
        </w:tblPrEx>
        <w:trPr>
          <w:trHeight w:val="1425"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CF7A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33</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4BEB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电导率仪</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24B47906">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1.支持数据存储（不低于500套）、查阅、删除、传输和打印。</w:t>
            </w:r>
          </w:p>
          <w:p w14:paraId="3A93A42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2.符合GLP，能够实现数据追溯。</w:t>
            </w:r>
          </w:p>
          <w:p w14:paraId="4D0D8F9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3.具有USB接口，通过专用通信软件与PC连接，实现数据传输。</w:t>
            </w:r>
          </w:p>
          <w:p w14:paraId="1C4A4D6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4.仪器级别：≤0.5级。</w:t>
            </w:r>
          </w:p>
          <w:p w14:paraId="69882F1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5.测量参数包括但不限于：电导率、电阻率、总固态溶解物（TDS）、盐度值、温度值。</w:t>
            </w:r>
          </w:p>
          <w:p w14:paraId="2882D0C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6.电导率</w:t>
            </w:r>
          </w:p>
          <w:p w14:paraId="3D8F68A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6.1范围:0.000μS/cm-1000mS/cm。</w:t>
            </w:r>
          </w:p>
          <w:p w14:paraId="41AFE2F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6.2最小分辨率:≤0.001μS/cm，根据量程自动切换。</w:t>
            </w:r>
          </w:p>
          <w:p w14:paraId="13A3961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6.3电子单元引用误差:≤±0.5% FS。</w:t>
            </w:r>
          </w:p>
          <w:p w14:paraId="05C2DC1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7.电阻率</w:t>
            </w:r>
          </w:p>
          <w:p w14:paraId="1F80F92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7.1范围:5.00Ω·cm-100.0MΩ·cm。</w:t>
            </w:r>
          </w:p>
          <w:p w14:paraId="31E30E8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7.2最小分辨率:≤0.01Ω·cm，根据量程自动切换。</w:t>
            </w:r>
          </w:p>
          <w:p w14:paraId="6EB053A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7.3电子单元引用误差:≤±0.5% FS。</w:t>
            </w:r>
          </w:p>
          <w:p w14:paraId="7D87653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8.TDS</w:t>
            </w:r>
          </w:p>
          <w:p w14:paraId="4E421C7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8.1范围: 0.000 mg/L-1000 g/L。</w:t>
            </w:r>
          </w:p>
          <w:p w14:paraId="594B9B7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8.2最小分辨:≤0.001mg/L，根据量程自动切换。</w:t>
            </w:r>
          </w:p>
          <w:p w14:paraId="4498C71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8.3电子单元引用误:≤±0.5% FS。</w:t>
            </w:r>
          </w:p>
          <w:p w14:paraId="341B0F3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9.盐度</w:t>
            </w:r>
          </w:p>
          <w:p w14:paraId="0D241BA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9.1范围: 0.00</w:t>
            </w:r>
            <w:r>
              <w:rPr>
                <w:rFonts w:ascii="宋体" w:hAnsi="宋体" w:eastAsia="宋体" w:cs="宋体"/>
                <w:color w:val="000000"/>
                <w:kern w:val="0"/>
                <w:sz w:val="20"/>
                <w:szCs w:val="20"/>
                <w:lang w:bidi="ar"/>
              </w:rPr>
              <w:t>%</w:t>
            </w:r>
            <w:r>
              <w:rPr>
                <w:rFonts w:hint="eastAsia" w:ascii="宋体" w:hAnsi="宋体" w:eastAsia="宋体" w:cs="宋体"/>
                <w:color w:val="000000"/>
                <w:kern w:val="0"/>
                <w:sz w:val="20"/>
                <w:szCs w:val="20"/>
                <w:lang w:bidi="ar"/>
              </w:rPr>
              <w:t>-8.00%。</w:t>
            </w:r>
          </w:p>
          <w:p w14:paraId="3D45D1F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9.2最小分辨率:≤0.01%。</w:t>
            </w:r>
          </w:p>
          <w:p w14:paraId="3A95246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9.3电子单元引用误差:≤±0.1%。</w:t>
            </w:r>
          </w:p>
          <w:p w14:paraId="06A299A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10.温度</w:t>
            </w:r>
          </w:p>
          <w:p w14:paraId="26ED566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10.1范围: (-10.0-135.0)℃/(14.0-275.0)℉。</w:t>
            </w:r>
          </w:p>
          <w:p w14:paraId="7A18E39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10.2最小分辨率:≤0.1 ℃/0.1℉。</w:t>
            </w:r>
          </w:p>
          <w:p w14:paraId="27DF215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10.3电子单元示值误差:≤±0.1 ℃。</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E1324">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12970">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7C9F3F8F">
        <w:tblPrEx>
          <w:tblCellMar>
            <w:top w:w="0" w:type="dxa"/>
            <w:left w:w="108" w:type="dxa"/>
            <w:bottom w:w="0" w:type="dxa"/>
            <w:right w:w="108" w:type="dxa"/>
          </w:tblCellMar>
        </w:tblPrEx>
        <w:trPr>
          <w:trHeight w:val="2557"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C4240">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34</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64AB8">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恒温振荡器</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6EED5AE5">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1.箱体采用304不锈钢材料。</w:t>
            </w:r>
          </w:p>
          <w:p w14:paraId="22C4EC2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2.夹具采用弹簧万用夹具。</w:t>
            </w:r>
          </w:p>
          <w:p w14:paraId="77A4F38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3.控温范围：RT+5℃-50℃。</w:t>
            </w:r>
          </w:p>
          <w:p w14:paraId="0E1F6DF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4.旋转方式包括但不限于：回旋、往返。</w:t>
            </w:r>
          </w:p>
          <w:p w14:paraId="66C97F9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5.转速：0</w:t>
            </w:r>
            <w:r>
              <w:rPr>
                <w:rFonts w:ascii="Times New Roman" w:hAnsi="Times New Roman" w:eastAsia="宋体" w:cs="Times New Roman"/>
              </w:rPr>
              <w:t xml:space="preserve"> </w:t>
            </w:r>
            <w:r>
              <w:rPr>
                <w:rFonts w:ascii="宋体" w:hAnsi="宋体" w:eastAsia="宋体" w:cs="宋体"/>
                <w:color w:val="000000"/>
                <w:kern w:val="0"/>
                <w:sz w:val="20"/>
                <w:szCs w:val="20"/>
                <w:lang w:bidi="ar"/>
              </w:rPr>
              <w:t>rpm/min</w:t>
            </w:r>
            <w:r>
              <w:rPr>
                <w:rFonts w:hint="eastAsia" w:ascii="宋体" w:hAnsi="宋体" w:eastAsia="宋体" w:cs="宋体"/>
                <w:color w:val="000000"/>
                <w:kern w:val="0"/>
                <w:sz w:val="20"/>
                <w:szCs w:val="20"/>
                <w:lang w:bidi="ar"/>
              </w:rPr>
              <w:t>-220</w:t>
            </w:r>
            <w:r>
              <w:rPr>
                <w:rFonts w:ascii="Times New Roman" w:hAnsi="Times New Roman" w:eastAsia="宋体" w:cs="Times New Roman"/>
              </w:rPr>
              <w:t xml:space="preserve"> </w:t>
            </w:r>
            <w:r>
              <w:rPr>
                <w:rFonts w:ascii="宋体" w:hAnsi="宋体" w:eastAsia="宋体" w:cs="宋体"/>
                <w:color w:val="000000"/>
                <w:kern w:val="0"/>
                <w:sz w:val="20"/>
                <w:szCs w:val="20"/>
                <w:lang w:bidi="ar"/>
              </w:rPr>
              <w:t>rpm/min</w:t>
            </w:r>
            <w:r>
              <w:rPr>
                <w:rFonts w:hint="eastAsia" w:ascii="宋体" w:hAnsi="宋体" w:eastAsia="宋体" w:cs="宋体"/>
                <w:color w:val="000000"/>
                <w:kern w:val="0"/>
                <w:sz w:val="20"/>
                <w:szCs w:val="20"/>
                <w:lang w:bidi="ar"/>
              </w:rPr>
              <w:t>（回旋）,0</w:t>
            </w:r>
            <w:r>
              <w:rPr>
                <w:rFonts w:ascii="Times New Roman" w:hAnsi="Times New Roman" w:eastAsia="宋体" w:cs="Times New Roman"/>
              </w:rPr>
              <w:t xml:space="preserve"> </w:t>
            </w:r>
            <w:r>
              <w:rPr>
                <w:rFonts w:ascii="宋体" w:hAnsi="宋体" w:eastAsia="宋体" w:cs="宋体"/>
                <w:color w:val="000000"/>
                <w:kern w:val="0"/>
                <w:sz w:val="20"/>
                <w:szCs w:val="20"/>
                <w:lang w:bidi="ar"/>
              </w:rPr>
              <w:t>rpm/min</w:t>
            </w:r>
            <w:r>
              <w:rPr>
                <w:rFonts w:hint="eastAsia" w:ascii="宋体" w:hAnsi="宋体" w:eastAsia="宋体" w:cs="宋体"/>
                <w:color w:val="000000"/>
                <w:kern w:val="0"/>
                <w:sz w:val="20"/>
                <w:szCs w:val="20"/>
                <w:lang w:bidi="ar"/>
              </w:rPr>
              <w:t>-300</w:t>
            </w:r>
            <w:r>
              <w:rPr>
                <w:rFonts w:ascii="Times New Roman" w:hAnsi="Times New Roman" w:eastAsia="宋体" w:cs="Times New Roman"/>
              </w:rPr>
              <w:t xml:space="preserve"> </w:t>
            </w:r>
            <w:r>
              <w:rPr>
                <w:rFonts w:ascii="宋体" w:hAnsi="宋体" w:eastAsia="宋体" w:cs="宋体"/>
                <w:color w:val="000000"/>
                <w:kern w:val="0"/>
                <w:sz w:val="20"/>
                <w:szCs w:val="20"/>
                <w:lang w:bidi="ar"/>
              </w:rPr>
              <w:t>rpm/min</w:t>
            </w:r>
            <w:r>
              <w:rPr>
                <w:rFonts w:hint="eastAsia" w:ascii="宋体" w:hAnsi="宋体" w:eastAsia="宋体" w:cs="宋体"/>
                <w:color w:val="000000"/>
                <w:kern w:val="0"/>
                <w:sz w:val="20"/>
                <w:szCs w:val="20"/>
                <w:lang w:bidi="ar"/>
              </w:rPr>
              <w:t xml:space="preserve"> (往返)。</w:t>
            </w:r>
          </w:p>
          <w:p w14:paraId="5B313AF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6.振幅：≥20mm（回旋），30mm（往返）。</w:t>
            </w:r>
          </w:p>
          <w:p w14:paraId="0AB017E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7.满载配置：≥6只500mL或2只1000mL。</w:t>
            </w:r>
          </w:p>
          <w:p w14:paraId="2091002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8.定时范围：0min-9990min。</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EF9A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D868A">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1FA9781A">
        <w:tblPrEx>
          <w:tblCellMar>
            <w:top w:w="0" w:type="dxa"/>
            <w:left w:w="108" w:type="dxa"/>
            <w:bottom w:w="0" w:type="dxa"/>
            <w:right w:w="108" w:type="dxa"/>
          </w:tblCellMar>
        </w:tblPrEx>
        <w:trPr>
          <w:trHeight w:val="575"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65294">
            <w:pPr>
              <w:widowControl/>
              <w:jc w:val="center"/>
              <w:textAlignment w:val="center"/>
              <w:rPr>
                <w:rFonts w:hint="eastAsia" w:ascii="宋体" w:hAnsi="宋体" w:eastAsia="宋体" w:cs="宋体"/>
                <w:color w:val="000000"/>
                <w:sz w:val="20"/>
                <w:szCs w:val="20"/>
                <w14:textFill>
                  <w14:solidFill>
                    <w14:srgbClr w14:val="000000">
                      <w14:lumMod w14:val="95000"/>
                      <w14:lumOff w14:val="5000"/>
                    </w14:srgbClr>
                  </w14:solidFill>
                </w14:textFill>
              </w:rPr>
            </w:pPr>
            <w:r>
              <w:rPr>
                <w:rFonts w:hint="eastAsia" w:ascii="宋体" w:hAnsi="宋体" w:eastAsia="宋体" w:cs="宋体"/>
                <w:color w:val="000000"/>
                <w:kern w:val="0"/>
                <w:sz w:val="20"/>
                <w:szCs w:val="20"/>
                <w:lang w:bidi="ar"/>
                <w14:textFill>
                  <w14:solidFill>
                    <w14:srgbClr w14:val="000000">
                      <w14:lumMod w14:val="95000"/>
                      <w14:lumOff w14:val="5000"/>
                    </w14:srgbClr>
                  </w14:solidFill>
                </w14:textFill>
              </w:rPr>
              <w:t>35</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AB487">
            <w:pPr>
              <w:widowControl/>
              <w:jc w:val="center"/>
              <w:textAlignment w:val="center"/>
              <w:rPr>
                <w:rFonts w:hint="eastAsia" w:ascii="宋体" w:hAnsi="宋体" w:eastAsia="宋体" w:cs="宋体"/>
                <w:color w:val="000000"/>
                <w:sz w:val="20"/>
                <w:szCs w:val="20"/>
                <w14:textFill>
                  <w14:solidFill>
                    <w14:srgbClr w14:val="000000">
                      <w14:lumMod w14:val="95000"/>
                      <w14:lumOff w14:val="5000"/>
                    </w14:srgbClr>
                  </w14:solidFill>
                </w14:textFill>
              </w:rPr>
            </w:pPr>
            <w:r>
              <w:rPr>
                <w:rFonts w:hint="eastAsia" w:ascii="宋体" w:hAnsi="宋体" w:eastAsia="宋体" w:cs="宋体"/>
                <w:color w:val="000000"/>
                <w:kern w:val="0"/>
                <w:sz w:val="20"/>
                <w:szCs w:val="20"/>
                <w:lang w:bidi="ar"/>
                <w14:textFill>
                  <w14:solidFill>
                    <w14:srgbClr w14:val="000000">
                      <w14:lumMod w14:val="95000"/>
                      <w14:lumOff w14:val="5000"/>
                    </w14:srgbClr>
                  </w14:solidFill>
                </w14:textFill>
              </w:rPr>
              <w:t>冰箱</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75DCAB28">
            <w:pPr>
              <w:widowControl/>
              <w:jc w:val="left"/>
              <w:textAlignment w:val="top"/>
              <w:rPr>
                <w:rFonts w:hint="eastAsia" w:ascii="宋体" w:hAnsi="宋体" w:eastAsia="宋体" w:cs="宋体"/>
                <w:color w:val="000000"/>
                <w:kern w:val="0"/>
                <w:sz w:val="20"/>
                <w:szCs w:val="20"/>
                <w:lang w:bidi="ar"/>
                <w14:textFill>
                  <w14:solidFill>
                    <w14:srgbClr w14:val="000000">
                      <w14:lumMod w14:val="95000"/>
                      <w14:lumOff w14:val="5000"/>
                    </w14:srgbClr>
                  </w14:solidFill>
                </w14:textFill>
              </w:rPr>
            </w:pPr>
            <w:r>
              <w:rPr>
                <w:rFonts w:hint="eastAsia" w:ascii="宋体" w:hAnsi="宋体" w:eastAsia="宋体" w:cs="宋体"/>
                <w:color w:val="000000"/>
                <w:kern w:val="0"/>
                <w:sz w:val="20"/>
                <w:szCs w:val="20"/>
                <w:lang w:bidi="ar"/>
                <w14:textFill>
                  <w14:solidFill>
                    <w14:srgbClr w14:val="000000">
                      <w14:lumMod w14:val="95000"/>
                      <w14:lumOff w14:val="5000"/>
                    </w14:srgbClr>
                  </w14:solidFill>
                </w14:textFill>
              </w:rPr>
              <w:t>1.双开门冰箱≥180L。</w:t>
            </w:r>
          </w:p>
          <w:p w14:paraId="2D9F1126">
            <w:pPr>
              <w:widowControl/>
              <w:jc w:val="left"/>
              <w:textAlignment w:val="top"/>
              <w:rPr>
                <w:rFonts w:hint="eastAsia" w:ascii="宋体" w:hAnsi="宋体" w:eastAsia="宋体" w:cs="宋体"/>
                <w:color w:val="000000"/>
                <w:sz w:val="20"/>
                <w:szCs w:val="20"/>
                <w14:textFill>
                  <w14:solidFill>
                    <w14:srgbClr w14:val="000000">
                      <w14:lumMod w14:val="95000"/>
                      <w14:lumOff w14:val="5000"/>
                    </w14:srgbClr>
                  </w14:solidFill>
                </w14:textFill>
              </w:rPr>
            </w:pPr>
            <w:r>
              <w:rPr>
                <w:rFonts w:hint="eastAsia" w:ascii="宋体" w:hAnsi="宋体" w:eastAsia="宋体" w:cs="宋体"/>
                <w:color w:val="000000"/>
                <w:kern w:val="0"/>
                <w:sz w:val="20"/>
                <w:szCs w:val="20"/>
                <w:lang w:bidi="ar"/>
                <w14:textFill>
                  <w14:solidFill>
                    <w14:srgbClr w14:val="000000">
                      <w14:lumMod w14:val="95000"/>
                      <w14:lumOff w14:val="5000"/>
                    </w14:srgbClr>
                  </w14:solidFill>
                </w14:textFill>
              </w:rPr>
              <w:t>2.冷藏室容积≥122L。</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19CC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813BA">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3C74F747">
        <w:tblPrEx>
          <w:tblCellMar>
            <w:top w:w="0" w:type="dxa"/>
            <w:left w:w="108" w:type="dxa"/>
            <w:bottom w:w="0" w:type="dxa"/>
            <w:right w:w="108" w:type="dxa"/>
          </w:tblCellMar>
        </w:tblPrEx>
        <w:trPr>
          <w:trHeight w:val="1862"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1336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36</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D7B23">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鼓风干燥箱</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2DF9D890">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1.方式：侧风道强制送风。</w:t>
            </w:r>
          </w:p>
          <w:p w14:paraId="64F5E6E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2.使用温度范围：RT+10℃-250℃。</w:t>
            </w:r>
          </w:p>
          <w:p w14:paraId="48A7F68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3.温度分辨率：≤0.1℃。</w:t>
            </w:r>
          </w:p>
          <w:p w14:paraId="6EAA2F6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4.温度波动度：≤±1℃。</w:t>
            </w:r>
          </w:p>
          <w:p w14:paraId="11E9546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5.温度分布精度：≤±2.5%。</w:t>
            </w:r>
          </w:p>
          <w:p w14:paraId="3F574F6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6.内装：304不锈钢板。</w:t>
            </w:r>
          </w:p>
          <w:p w14:paraId="138D07E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7.加热器：304不锈钢加热管。</w:t>
            </w:r>
          </w:p>
          <w:p w14:paraId="2475876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8.额定功率：≥2.0kW。</w:t>
            </w:r>
          </w:p>
          <w:p w14:paraId="4BD7793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9.控制器：温度控制方式：数码管显示双PID。</w:t>
            </w:r>
          </w:p>
          <w:p w14:paraId="245313A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10.定时器：0min-9999min。</w:t>
            </w:r>
          </w:p>
          <w:p w14:paraId="2226604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11.传感器：Pt100。</w:t>
            </w:r>
          </w:p>
          <w:p w14:paraId="3548B03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12.安全装置：过升报警。</w:t>
            </w:r>
          </w:p>
          <w:p w14:paraId="409C930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13.内容积：≥136 L。</w:t>
            </w:r>
          </w:p>
          <w:p w14:paraId="51C07E9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14.电源（50/60Hz）额定电流：AC220V/9.1A。</w:t>
            </w:r>
          </w:p>
          <w:p w14:paraId="60C4DF3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15.附属品：隔板：≥2件。</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40696">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D9EE1">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415A8339">
        <w:tblPrEx>
          <w:tblCellMar>
            <w:top w:w="0" w:type="dxa"/>
            <w:left w:w="108" w:type="dxa"/>
            <w:bottom w:w="0" w:type="dxa"/>
            <w:right w:w="108" w:type="dxa"/>
          </w:tblCellMar>
        </w:tblPrEx>
        <w:trPr>
          <w:trHeight w:val="635"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F3AF4">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37</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58C8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0.1mg分析天平</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57AC70C1">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1.量程：≥120g。</w:t>
            </w:r>
          </w:p>
          <w:p w14:paraId="0D6E7CE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2.可读性：d=0.1mg。</w:t>
            </w:r>
          </w:p>
          <w:p w14:paraId="62BB374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3.重复性偏差（200g）：≤±0.1mg。</w:t>
            </w:r>
          </w:p>
          <w:p w14:paraId="4344C54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4.线性偏差：≤±0.06mg。</w:t>
            </w:r>
          </w:p>
          <w:p w14:paraId="40514C3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5.典型稳定时间：≤1.5s。</w:t>
            </w:r>
          </w:p>
          <w:p w14:paraId="09E6043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6.校准方式：外校。</w:t>
            </w:r>
          </w:p>
          <w:p w14:paraId="583CA63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7.彩色RLED 触摸屏，操作容易，读数方便。</w:t>
            </w:r>
          </w:p>
          <w:p w14:paraId="29C09B7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8.温度和时间触发的全自动内部校准和调整功能，确保获得准确的称量结果。</w:t>
            </w:r>
          </w:p>
          <w:p w14:paraId="5D17F84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9.自动检测并通知校准结果是否超出正常范围，确保操作符合(SOP)要求。</w:t>
            </w:r>
          </w:p>
          <w:p w14:paraId="7B9C4E1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10.超级单体传感器，确保快速准确的称重。</w:t>
            </w:r>
          </w:p>
          <w:p w14:paraId="366C150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11.配备自测试“@start”功能，保证可靠性。</w:t>
            </w:r>
          </w:p>
          <w:p w14:paraId="6B6F9D8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12.采用了耐磨的聚对苯二甲酸丁二酯(PBT)外壳。</w:t>
            </w:r>
          </w:p>
          <w:p w14:paraId="33FC65F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13. 自动检测并图形显示打印机、PC等外设是否连接正常。</w:t>
            </w:r>
          </w:p>
          <w:p w14:paraId="74E1A29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14.PC 直连功能，能够将称量数据直接传输到电子表格或者文本如Microsoft® Excel 或Word 等格式的文档中。</w:t>
            </w:r>
          </w:p>
          <w:p w14:paraId="0F27EC4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15.内置不少于 11 种应用程序：包括但不限于称量 | 填料、计数、称量百分比、混合 | 净重总重、组分 | 总重、动物称量、计算 | 自由因子、密度测定、统计、峰值保持、检重等。</w:t>
            </w:r>
          </w:p>
          <w:p w14:paraId="09A01CD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16.防风罩满足安全可拆卸。</w:t>
            </w:r>
          </w:p>
          <w:p w14:paraId="5E7FFF2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17.双接口：USB及RS232，可连接打印机、PC、第二显示器、扫描枪等外设。</w:t>
            </w:r>
          </w:p>
          <w:p w14:paraId="6F6D910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18.密码保护（增加保护功能描述，可参考前述）。</w:t>
            </w:r>
          </w:p>
          <w:p w14:paraId="59629DE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19.ID设置，可以为设备、样品和批次分配ID号。</w:t>
            </w:r>
          </w:p>
          <w:p w14:paraId="37507C4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20.称量室高度≥240mm。</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BEBE9">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60DC1">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6B53B43D">
        <w:tblPrEx>
          <w:tblCellMar>
            <w:top w:w="0" w:type="dxa"/>
            <w:left w:w="108" w:type="dxa"/>
            <w:bottom w:w="0" w:type="dxa"/>
            <w:right w:w="108" w:type="dxa"/>
          </w:tblCellMar>
        </w:tblPrEx>
        <w:trPr>
          <w:trHeight w:val="575"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900F1">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38</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5F237">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0.1g电子天平</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1F3A31ED">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1.量程：≥5.0 kg。</w:t>
            </w:r>
          </w:p>
          <w:p w14:paraId="169A140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2.可读性：≥0.1 g。</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E726F">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8E0C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5E00D432">
        <w:tblPrEx>
          <w:tblCellMar>
            <w:top w:w="0" w:type="dxa"/>
            <w:left w:w="108" w:type="dxa"/>
            <w:bottom w:w="0" w:type="dxa"/>
            <w:right w:w="108" w:type="dxa"/>
          </w:tblCellMar>
        </w:tblPrEx>
        <w:trPr>
          <w:trHeight w:val="2274"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67DBA">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39</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1FBE6">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超净工作台</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13A96A4B">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1.洁净台分类：双人单面操作。</w:t>
            </w:r>
          </w:p>
          <w:p w14:paraId="655F7A8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2.外部尺寸：≥长1800mm×宽740mm×高2050mm；内部尺寸：≥长1700mm×宽575mm×高620mm。</w:t>
            </w:r>
          </w:p>
          <w:p w14:paraId="1AEBE76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3.额定功率：≥1600W。</w:t>
            </w:r>
          </w:p>
          <w:p w14:paraId="671A39C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4.气流流速：0.30m/s-0.45m/s。</w:t>
            </w:r>
          </w:p>
          <w:p w14:paraId="7426964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5.紫外灯功率：≥40W。</w:t>
            </w:r>
          </w:p>
          <w:p w14:paraId="0760E51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6.LED日光灯功率：≥16W。</w:t>
            </w:r>
          </w:p>
          <w:p w14:paraId="2B42349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7.前窗玻璃最大开口高度：≥470mm。</w:t>
            </w:r>
          </w:p>
          <w:p w14:paraId="25E97C4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8.前窗玻璃开口安全操作高度：200mm-350mm，在低于或高于安全高度时机器报警，保证设备使用时性能稳定。</w:t>
            </w:r>
          </w:p>
          <w:p w14:paraId="0950577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9.工作台到地面高度：≥750mm。</w:t>
            </w:r>
          </w:p>
          <w:p w14:paraId="6A38ADF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10.噪音：≤65dB(A)。</w:t>
            </w:r>
          </w:p>
          <w:p w14:paraId="1B7619D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11.产品安全性：菌落数≤0.5CFU/30min；洁净ISO等级5（100级)。</w:t>
            </w:r>
          </w:p>
          <w:p w14:paraId="1CC95F4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12.过滤效率:过滤器均采用无隔板高效过滤器，高效滤器，对直径≥0.3μm颗粒过滤效率为99.995%。</w:t>
            </w:r>
          </w:p>
          <w:p w14:paraId="74585C3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13.工作区采用四面（左右二侧、后部、底部）正压环绕设计工作区内。</w:t>
            </w:r>
          </w:p>
          <w:p w14:paraId="7CD7744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14.箱体部分采用≥1.2mm厚的冷轧钢板且表面静电喷涂。</w:t>
            </w:r>
          </w:p>
          <w:p w14:paraId="709421F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15.工作区台面为304不锈钢材质。</w:t>
            </w:r>
          </w:p>
          <w:p w14:paraId="7DE771F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16.控制面板采用轻触式开关，按键由包括但不限于以下内容：风机键、照明键、紫外键、电源键、插座键、风量减小键、风量增大键组成，易于操作；LCD显示屏显示内容有包括但不限于：显示实时风速和档位、显示时间、紫外灯的累计工作时间、过滤器的累计工作时间。紫外灯与风机、日光灯具有互锁功能，即当风机、日光灯工作时，紫外灯无法开启，保护操作人员。</w:t>
            </w:r>
          </w:p>
          <w:p w14:paraId="330C195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▲17.洁净台前视窗7度倾角，采用5mm厚钢化玻璃的手动视窗，具备通过手动控制，达到可以在行程范围内的任意高度停止，双侧玻璃视窗.</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w:t>
            </w:r>
          </w:p>
          <w:p w14:paraId="7234641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18.照明：≥350lx。</w:t>
            </w:r>
          </w:p>
          <w:p w14:paraId="5EF07F2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19.脚轮设计，方便柜体移动与固定。</w:t>
            </w:r>
          </w:p>
          <w:p w14:paraId="4B4AC90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20.预留PAO检测口，能够实现检测高效过滤器完整性。</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E9418">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416F0">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4CDC8784">
        <w:tblPrEx>
          <w:tblCellMar>
            <w:top w:w="0" w:type="dxa"/>
            <w:left w:w="108" w:type="dxa"/>
            <w:bottom w:w="0" w:type="dxa"/>
            <w:right w:w="108" w:type="dxa"/>
          </w:tblCellMar>
        </w:tblPrEx>
        <w:trPr>
          <w:trHeight w:val="4539"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9684A">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40</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2CED4">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离心分离机（高速冷冻型）</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28455CBB">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1.最高转速：≥ 15200rpm。</w:t>
            </w:r>
          </w:p>
          <w:p w14:paraId="080330E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2.最大离心力：≥25830xg。</w:t>
            </w:r>
          </w:p>
          <w:p w14:paraId="7D76CB0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3.温度设定范围：-10℃至+40℃。</w:t>
            </w:r>
          </w:p>
          <w:p w14:paraId="5157BA9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4.加减速控制：≥9级加速,≥ 10级减速。</w:t>
            </w:r>
          </w:p>
          <w:p w14:paraId="2D9DEDD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▲5.转头锁定系统：具备Auto-Lock转头自锁，具有转头自动锁定装置，达到可以在3秒内实现转头的安全锁定&amp;转头更换，</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w:t>
            </w:r>
          </w:p>
          <w:p w14:paraId="1EB98F9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★6.生物安全性保证：具备所有转子的防生物污染密封盖，每个转头盖子提供经第三方认证的证书。达到可以单手操作，无需旋盖及搭扣，并可以确保密封，</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w:t>
            </w:r>
          </w:p>
          <w:p w14:paraId="4FC783A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7.驱动系统：无碳刷大力矩电机直接驱动。</w:t>
            </w:r>
          </w:p>
          <w:p w14:paraId="3413778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8.程序：≥6个快捷程序可一键调用，并具有≥1个快捷预冷程序。</w:t>
            </w:r>
          </w:p>
          <w:p w14:paraId="69DDADF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9.运行时间控制：0min-9h59min；并具有瞬时离心及连续离心方式。</w:t>
            </w:r>
          </w:p>
          <w:p w14:paraId="7868C05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10.控制系统：微电脑控制, 数字液晶显示；可以同时显示设定和实际温度、速度、时间；可简单快捷设定运行条件和运行参数。</w:t>
            </w:r>
          </w:p>
          <w:p w14:paraId="65A7A5F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11.自动性能：可选择在离心结束之后自动开盖；可选择在离心结束时声音提醒功能。</w:t>
            </w:r>
          </w:p>
          <w:p w14:paraId="6B97D9C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12.转头配置：≥4×400 mL水平转头，带15 mL、50 mL离心管适配器。</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9FB89">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38D9D">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0FC2E870">
        <w:tblPrEx>
          <w:tblCellMar>
            <w:top w:w="0" w:type="dxa"/>
            <w:left w:w="108" w:type="dxa"/>
            <w:bottom w:w="0" w:type="dxa"/>
            <w:right w:w="108" w:type="dxa"/>
          </w:tblCellMar>
        </w:tblPrEx>
        <w:trPr>
          <w:trHeight w:val="417"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7B7B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41</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0668A">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-80℃超低温冰箱</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5A4A7B4C">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1.内部容积：≥422L；满足2英寸冻存盒的存放数量：≥ 300个。</w:t>
            </w:r>
          </w:p>
          <w:p w14:paraId="7668F12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2.外部尺寸：≥高1981mm×宽584mm×深977mm ，单位样品量储存占地最小化。</w:t>
            </w:r>
          </w:p>
          <w:p w14:paraId="32F8E14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3.工作温度范围：-50℃- -86℃，微电脑控制，PT1000 控制探头，工作温度设定点可调节。</w:t>
            </w:r>
          </w:p>
          <w:p w14:paraId="10E8295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4.制冷系统：≥2台×797W压缩机；空载情况下，内外门全开一分钟后关闭，冰箱回温到 -75℃ 的时间不超过 16分钟。</w:t>
            </w:r>
          </w:p>
          <w:p w14:paraId="35874E7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整机具备内置≥9个温度探头，全面监控超低温冰箱腔体温度、环境温度、热交换器温度、蒸发器入口温度、蒸发器出口温度、一级吸气管温度、二级吸气管温度等，确保冰箱顺利运行；其中不少于5个温度探头的数据工程师可直接导出，达到有助于故障原因的快速判断。</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w:t>
            </w:r>
          </w:p>
          <w:p w14:paraId="22DB07B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6.标配四扇聚苯乙烯泡沫绝热内门。</w:t>
            </w:r>
          </w:p>
          <w:p w14:paraId="47C416C7">
            <w:pPr>
              <w:widowControl/>
              <w:jc w:val="left"/>
              <w:textAlignment w:val="top"/>
              <w:rPr>
                <w:rFonts w:hint="eastAsia" w:ascii="宋体" w:hAnsi="宋体" w:eastAsia="宋体" w:cs="宋体"/>
                <w:color w:val="000000"/>
                <w:sz w:val="20"/>
                <w:szCs w:val="20"/>
                <w:highlight w:val="yellow"/>
              </w:rPr>
            </w:pPr>
            <w:r>
              <w:rPr>
                <w:rFonts w:hint="eastAsia" w:ascii="宋体" w:hAnsi="宋体" w:eastAsia="宋体" w:cs="宋体"/>
                <w:color w:val="000000"/>
                <w:kern w:val="0"/>
                <w:sz w:val="20"/>
                <w:szCs w:val="20"/>
                <w:lang w:bidi="ar"/>
              </w:rPr>
              <w:t>▲7.具备四点七层电加热式密封条，达到有效防止门封条及周边结霜，确保最佳密封保温效果；加热器嵌入门内，确保热量不会进入样品存储区域</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w:t>
            </w:r>
          </w:p>
          <w:p w14:paraId="48AAB09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8.用户界面：≥5.6英寸电容式触摸按键屏, 清晰的数字温度显示, 面板上的图标能够直观显示冰箱运行健康状态、以及超温、门半开或电源故障等警报状态。</w:t>
            </w:r>
          </w:p>
          <w:p w14:paraId="5744E0E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9.具有至少三位数密码保护，安全管理温度设置和报警设置。</w:t>
            </w:r>
          </w:p>
          <w:p w14:paraId="0874CE2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10.通过控制面板，可进行运行温度和报警温度设置，温度过高警报测试功能，以及温度校准补偿功能。</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60FB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53C30">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69FC9A70">
        <w:tblPrEx>
          <w:tblCellMar>
            <w:top w:w="0" w:type="dxa"/>
            <w:left w:w="108" w:type="dxa"/>
            <w:bottom w:w="0" w:type="dxa"/>
            <w:right w:w="108" w:type="dxa"/>
          </w:tblCellMar>
        </w:tblPrEx>
        <w:trPr>
          <w:trHeight w:val="1425"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BD2D9">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42</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4B79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真空冷冻干燥机</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13F3A66C">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1.冻干面积：≥0.12㎡。</w:t>
            </w:r>
          </w:p>
          <w:p w14:paraId="0544482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2.捕水容量：≥4kg/批。</w:t>
            </w:r>
          </w:p>
          <w:p w14:paraId="27913F5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3.板层数量：≥4块。</w:t>
            </w:r>
          </w:p>
          <w:p w14:paraId="0A36A18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4.冷阱最低温度：≤-80℃ (空载）。</w:t>
            </w:r>
          </w:p>
          <w:p w14:paraId="6CE06E9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5.极限真空度：≤5Pa（空载）。</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09FC7">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E8337">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455B76CD">
        <w:tblPrEx>
          <w:tblCellMar>
            <w:top w:w="0" w:type="dxa"/>
            <w:left w:w="108" w:type="dxa"/>
            <w:bottom w:w="0" w:type="dxa"/>
            <w:right w:w="108" w:type="dxa"/>
          </w:tblCellMar>
        </w:tblPrEx>
        <w:trPr>
          <w:trHeight w:val="3972"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DA324">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43</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8577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智能人工气候箱</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3EB17E8D">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1.容积：≥268L。</w:t>
            </w:r>
          </w:p>
          <w:p w14:paraId="3A50B1C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2.控温范围：0℃-50℃。</w:t>
            </w:r>
          </w:p>
          <w:p w14:paraId="44C0EED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3.湿度范围：50%RH-95%RH(10℃以下不控湿)。</w:t>
            </w:r>
          </w:p>
          <w:p w14:paraId="389890B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4.温度波动度：≤±0.5℃。</w:t>
            </w:r>
          </w:p>
          <w:p w14:paraId="4FF5978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5.温度均匀度：≤±1℃。</w:t>
            </w:r>
          </w:p>
          <w:p w14:paraId="1BC3BD7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6.湿度均匀度：≤±7%RH。</w:t>
            </w:r>
          </w:p>
          <w:p w14:paraId="3F491FE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7.光照度：0lux-8000lux（常规）。</w:t>
            </w:r>
          </w:p>
          <w:p w14:paraId="7359C34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8.温度、湿度、光照可编程段数：均需满足按需可设置多段。</w:t>
            </w:r>
          </w:p>
          <w:p w14:paraId="55A6276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9.工作方式：连续运行（压缩机间歇工作）。</w:t>
            </w:r>
          </w:p>
          <w:p w14:paraId="624290BA">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10.电源：220V/50Hz。</w:t>
            </w:r>
          </w:p>
          <w:p w14:paraId="2EB7288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11.使用环境条件：在满足温度0℃-35℃、湿度≤85%RH、气压86kPa-106kPa，通风良好，无强烈电磁场影响、无强烈震动、无高浓粉尘及腐蚀物、无阳光直射或其他热源幅物，水平地面的环境下能够正常工作。</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9BD2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A1DF0">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7F46CE69">
        <w:tblPrEx>
          <w:tblCellMar>
            <w:top w:w="0" w:type="dxa"/>
            <w:left w:w="108" w:type="dxa"/>
            <w:bottom w:w="0" w:type="dxa"/>
            <w:right w:w="108" w:type="dxa"/>
          </w:tblCellMar>
        </w:tblPrEx>
        <w:trPr>
          <w:trHeight w:val="3972"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95EA0">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44</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01D41">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恒温培养箱</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77CF2D7D">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1.内装：镜面304不锈钢。</w:t>
            </w:r>
          </w:p>
          <w:p w14:paraId="6210FD6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2.外装：冷轧钢板，表面耐药品涂装。</w:t>
            </w:r>
          </w:p>
          <w:p w14:paraId="40D584E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3.断热材：橡塑海绵。</w:t>
            </w:r>
          </w:p>
          <w:p w14:paraId="5A574AE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4.加热器：加热管。</w:t>
            </w:r>
          </w:p>
          <w:p w14:paraId="61E195B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5.额定功率：≥0.5kW。</w:t>
            </w:r>
          </w:p>
          <w:p w14:paraId="2638D1B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6.排气口：内径≥φ28mm，1个，顶部位置。</w:t>
            </w:r>
          </w:p>
          <w:p w14:paraId="6CD128B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7.控制器：温度控制方式：PID。</w:t>
            </w:r>
          </w:p>
          <w:p w14:paraId="2F142E9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8.温度设定方式：轻触按键设定。</w:t>
            </w:r>
          </w:p>
          <w:p w14:paraId="344CAB4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9.定时器：0min-9999min。</w:t>
            </w:r>
          </w:p>
          <w:p w14:paraId="7C539AC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10.运行功能：定值运行、定时运行、自动停止。</w:t>
            </w:r>
          </w:p>
          <w:p w14:paraId="2E64E7C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11.附加功能包括但不限于：偏差修正、菜单按键锁定、停电记忆</w:t>
            </w:r>
          </w:p>
          <w:p w14:paraId="701BCAE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12.传感器：PT100。</w:t>
            </w:r>
          </w:p>
          <w:p w14:paraId="7542E59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13.安全装置：超温报警，过升防止器。</w:t>
            </w:r>
          </w:p>
          <w:p w14:paraId="226DBEA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14.内容积：≥124L。</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6B699">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7E77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7D044B3B">
        <w:tblPrEx>
          <w:tblCellMar>
            <w:top w:w="0" w:type="dxa"/>
            <w:left w:w="108" w:type="dxa"/>
            <w:bottom w:w="0" w:type="dxa"/>
            <w:right w:w="108" w:type="dxa"/>
          </w:tblCellMar>
        </w:tblPrEx>
        <w:trPr>
          <w:trHeight w:val="2840"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995B8">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45</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18C30">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摇床</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138BC6D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sz w:val="20"/>
                <w:szCs w:val="20"/>
                <w:lang w:bidi="ar"/>
              </w:rPr>
              <w:t>1.采用精密轴承，能够满足寿命周期长，维护简易。</w:t>
            </w:r>
          </w:p>
          <w:p w14:paraId="7457B87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sz w:val="20"/>
                <w:szCs w:val="20"/>
                <w:lang w:bidi="ar"/>
              </w:rPr>
              <w:t>2.满足多款托盘夹具可选，可定制特殊夹具。</w:t>
            </w:r>
          </w:p>
          <w:p w14:paraId="644C73F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sz w:val="20"/>
                <w:szCs w:val="20"/>
                <w:lang w:bidi="ar"/>
              </w:rPr>
              <w:t>3.空载振荡速度：0.1rpm-400rpm。</w:t>
            </w:r>
          </w:p>
          <w:p w14:paraId="6409903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sz w:val="20"/>
                <w:szCs w:val="20"/>
                <w:lang w:bidi="ar"/>
              </w:rPr>
              <w:t>4.速度控制精度：≤±1rpm。</w:t>
            </w:r>
          </w:p>
          <w:p w14:paraId="5DED69E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sz w:val="20"/>
                <w:szCs w:val="20"/>
                <w:lang w:bidi="ar"/>
              </w:rPr>
              <w:t>5.振荡幅度：≥φ26mm。</w:t>
            </w:r>
          </w:p>
          <w:p w14:paraId="78040B3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sz w:val="20"/>
                <w:szCs w:val="20"/>
                <w:lang w:bidi="ar"/>
              </w:rPr>
              <w:t>6.控温范围：4℃-60℃（在室温23℃-25℃）。</w:t>
            </w:r>
          </w:p>
          <w:p w14:paraId="4E304B4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sz w:val="20"/>
                <w:szCs w:val="20"/>
                <w:lang w:bidi="ar"/>
              </w:rPr>
              <w:t>7.温度控制精度：≤±0.1℃。</w:t>
            </w:r>
          </w:p>
          <w:p w14:paraId="2DC5938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sz w:val="20"/>
                <w:szCs w:val="20"/>
                <w:lang w:bidi="ar"/>
              </w:rPr>
              <w:t>8.温度均匀度：≤±0.5℃（@37℃）。</w:t>
            </w:r>
          </w:p>
          <w:p w14:paraId="0FB9719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sz w:val="20"/>
                <w:szCs w:val="20"/>
                <w:lang w:bidi="ar"/>
              </w:rPr>
              <w:t>9.定时范围：0h-999h。</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8907D">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C004C">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3026C782">
        <w:tblPrEx>
          <w:tblCellMar>
            <w:top w:w="0" w:type="dxa"/>
            <w:left w:w="108" w:type="dxa"/>
            <w:bottom w:w="0" w:type="dxa"/>
            <w:right w:w="108" w:type="dxa"/>
          </w:tblCellMar>
        </w:tblPrEx>
        <w:trPr>
          <w:trHeight w:val="6706"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71EB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46</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2AEF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酶标仪</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6E3035EA">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 常规指标</w:t>
            </w:r>
          </w:p>
          <w:p w14:paraId="4A9144B9">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1.1标配检测功能：支持包括但不限于光吸收、荧光(FRET)、化学发光(辉光和闪光) 、生物发光共振能量转移（BRET/NanoBRET）、时间分辨荧光(TRF)、多波长多模式检测功能、权限控制功能。</w:t>
            </w:r>
          </w:p>
          <w:p w14:paraId="42064AA5">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1.2仪器后期支持升级AlphaScreen模块。</w:t>
            </w:r>
          </w:p>
          <w:p w14:paraId="066A62D4">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1.3光路设计：标配光栅光路和滤光片光路双系统。</w:t>
            </w:r>
          </w:p>
          <w:p w14:paraId="3A5E0C0C">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1.4光源：高能氙闪灯。</w:t>
            </w:r>
          </w:p>
          <w:p w14:paraId="45010891">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1.5检测器：≥3个独立检测器。</w:t>
            </w:r>
          </w:p>
          <w:p w14:paraId="53B28535">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1.6光谱扫描模式：终点光谱扫描，动力学光谱扫描；支持光吸收，荧光，发光1nm间隔扫描。</w:t>
            </w:r>
          </w:p>
          <w:p w14:paraId="02AD16A1">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1.7温控范围：室温+4℃-45℃。</w:t>
            </w:r>
          </w:p>
          <w:p w14:paraId="4549BFD5">
            <w:pPr>
              <w:widowControl/>
              <w:jc w:val="left"/>
              <w:textAlignment w:val="top"/>
              <w:rPr>
                <w:rFonts w:hint="eastAsia" w:ascii="宋体" w:hAnsi="宋体" w:eastAsia="宋体" w:cs="宋体"/>
                <w:b/>
                <w:bCs/>
                <w:color w:val="000000"/>
                <w:kern w:val="0"/>
                <w:szCs w:val="21"/>
                <w:lang w:bidi="ar"/>
              </w:rPr>
            </w:pPr>
            <w:r>
              <w:rPr>
                <w:rFonts w:hint="eastAsia" w:ascii="宋体" w:hAnsi="宋体" w:eastAsia="宋体" w:cs="宋体"/>
                <w:color w:val="000000"/>
                <w:kern w:val="0"/>
                <w:sz w:val="20"/>
                <w:szCs w:val="20"/>
                <w:lang w:bidi="ar"/>
              </w:rPr>
              <w:t>▲1.8具备支持加热适配器，达到提高温控均一性，至少配备6-48、96和384孔板适配器，具备热盖功能，以防止水汽凝集</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w:t>
            </w:r>
          </w:p>
          <w:p w14:paraId="395121B4">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1.9测量顺序：标配≥6种不同测量顺序，满足不同方向复孔之间时间测量要求。</w:t>
            </w:r>
          </w:p>
          <w:p w14:paraId="7886C044">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1.10测量速度：吸收光模式，96孔板，整板读数时间≤16S。</w:t>
            </w:r>
          </w:p>
          <w:p w14:paraId="648AF4A6">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2.光吸收检测</w:t>
            </w:r>
          </w:p>
          <w:p w14:paraId="41D87F90">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2.1波长范围：200nm-1000nm。</w:t>
            </w:r>
          </w:p>
          <w:p w14:paraId="29A28970">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2.2带宽：200nm-1000nm范围内均是5nm。</w:t>
            </w:r>
          </w:p>
          <w:p w14:paraId="5B7F4429">
            <w:pPr>
              <w:widowControl/>
              <w:jc w:val="left"/>
              <w:textAlignment w:val="top"/>
              <w:rPr>
                <w:rFonts w:hint="eastAsia" w:ascii="宋体" w:hAnsi="宋体" w:eastAsia="宋体" w:cs="宋体"/>
                <w:b/>
                <w:bCs/>
                <w:color w:val="000000"/>
                <w:kern w:val="0"/>
                <w:szCs w:val="21"/>
                <w:lang w:bidi="ar"/>
              </w:rPr>
            </w:pPr>
            <w:r>
              <w:rPr>
                <w:rFonts w:hint="eastAsia" w:ascii="宋体" w:hAnsi="宋体" w:eastAsia="宋体" w:cs="宋体"/>
                <w:color w:val="000000"/>
                <w:kern w:val="0"/>
                <w:sz w:val="20"/>
                <w:szCs w:val="20"/>
                <w:lang w:bidi="ar"/>
              </w:rPr>
              <w:t>▲2.3具备直接读数范围：0Abs-5Abs，不接受光程校正的读数范围（</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提供产品彩页宣传手册复印件或产品官网描述截图或产品白皮书等相关证明材料并加盖投标人公章，相关证明材料须在权威公开的网站可查询，并提供查询截图）。投标响应时需提供软件设置截图。</w:t>
            </w:r>
          </w:p>
          <w:p w14:paraId="3C66B4C2">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2.4杂散光：≤0.006% at 230 nm。</w:t>
            </w:r>
          </w:p>
          <w:p w14:paraId="4B31447A">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2.5光谱扫描速度≤2.2秒/孔，400nm 至 500 nm，1次闪光、2 nm 步进。</w:t>
            </w:r>
          </w:p>
          <w:p w14:paraId="3C1CD988">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3.荧光检测</w:t>
            </w:r>
          </w:p>
          <w:p w14:paraId="39D20EBF">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3.1光栅带宽可调，激发和发射总带宽≤18nm。</w:t>
            </w:r>
          </w:p>
          <w:p w14:paraId="4A8C9525">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3.2波长范围：激发200nm-1000nm。</w:t>
            </w:r>
          </w:p>
          <w:p w14:paraId="0E428B87">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3.3波长范围：发射280nm-840nm。</w:t>
            </w:r>
          </w:p>
          <w:p w14:paraId="29EF80C7">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3.4荧光检测灵敏度：≤0.5 fmol 荧光素/孔。</w:t>
            </w:r>
          </w:p>
          <w:p w14:paraId="642C17C0">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3.5荧光动态范围：≥6个数量级。</w:t>
            </w:r>
          </w:p>
          <w:p w14:paraId="0A980934">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4.化学发光</w:t>
            </w:r>
          </w:p>
          <w:p w14:paraId="05A5CB50">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4.1独立化学发光检测模块，含光栅以及独立滤光片检测光路。</w:t>
            </w:r>
          </w:p>
          <w:p w14:paraId="4475711D">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4.2标配8位滤光片轮，支持NanoBRET检测等多色发光检测，实现在活细胞内实时监测蛋白相互作用。</w:t>
            </w:r>
          </w:p>
          <w:p w14:paraId="68813016">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4.3化学发光灵敏度（灵敏度保证值，而不是灵敏度典型值或优化值）：≤8 amol ATP/孔。</w:t>
            </w:r>
          </w:p>
          <w:p w14:paraId="3F1EB1EE">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4.4具备发光光谱扫描功能，可进行1 nm步进发光光谱扫描。</w:t>
            </w:r>
          </w:p>
          <w:p w14:paraId="179CCD8E">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4.5化学发光动态范围（检测器直接读数的动态范围，不接受OD减光片拓展的动态范围）：≥7个数量级。</w:t>
            </w:r>
          </w:p>
          <w:p w14:paraId="75868F1C">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5.生物发光共振能量转移BRET和NanoBRET</w:t>
            </w:r>
          </w:p>
          <w:p w14:paraId="462D0CCC">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5.1仪器同时支持BRET、BRET2和NanoBRET检测技术。</w:t>
            </w:r>
          </w:p>
          <w:p w14:paraId="4950D00A">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5.2配备NanoBRET检测模块，至少支持460/80nm和610nm波长的生物发光检测。</w:t>
            </w:r>
          </w:p>
          <w:p w14:paraId="3C49F8FC">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6.时间分辨荧光功能</w:t>
            </w:r>
          </w:p>
          <w:p w14:paraId="7CE19DDB">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6.1TRF专用高能氙闪灯，光栅和滤光片双光路。</w:t>
            </w:r>
          </w:p>
          <w:p w14:paraId="7671D13E">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6.2具有TRF时间分辨荧光1nm间隔光谱扫描功能。</w:t>
            </w:r>
          </w:p>
          <w:p w14:paraId="07752CF1">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6.3TRF 检测灵敏度（灵敏度保证值，而不是灵敏度典型值或优化值）：≤1 amol Eu/孔，384孔板读值。</w:t>
            </w:r>
          </w:p>
          <w:p w14:paraId="3549BEF1">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7.多波长多模式检测模块</w:t>
            </w:r>
          </w:p>
          <w:p w14:paraId="692EEF87">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7.1支持吸收光、荧光、化学发光多波长检测。</w:t>
            </w:r>
          </w:p>
          <w:p w14:paraId="48A7EEED">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7.2支持不低于5个波长的同时检测，逐孔进行多波长测定。</w:t>
            </w:r>
          </w:p>
          <w:p w14:paraId="6D85CE9D">
            <w:pPr>
              <w:widowControl/>
              <w:jc w:val="left"/>
              <w:textAlignment w:val="top"/>
              <w:rPr>
                <w:rFonts w:hint="eastAsia" w:ascii="宋体" w:hAnsi="宋体" w:eastAsia="宋体" w:cs="宋体"/>
                <w:b/>
                <w:bCs/>
                <w:color w:val="000000"/>
                <w:kern w:val="0"/>
                <w:szCs w:val="21"/>
                <w:lang w:bidi="ar"/>
              </w:rPr>
            </w:pPr>
            <w:r>
              <w:rPr>
                <w:rFonts w:hint="eastAsia" w:ascii="宋体" w:hAnsi="宋体" w:eastAsia="宋体" w:cs="宋体"/>
                <w:color w:val="000000"/>
                <w:kern w:val="0"/>
                <w:sz w:val="20"/>
                <w:szCs w:val="20"/>
                <w:lang w:bidi="ar"/>
              </w:rPr>
              <w:t>▲7.3具备至少支持多模式检测，吸收光、荧光、化学发光、时间分辨荧光等达到可在同一实验方案中依次实现（</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提供产品彩页宣传手册复印件或产品官网描述截图或产品白皮书等相关证明材料并加盖投标人公章，相关证明材料须在权威公开的网站可查询，并提供查询截图）；投标响应时需提供软件设置截图。</w:t>
            </w:r>
          </w:p>
          <w:p w14:paraId="4154590B">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7.4支持荧光能量共振转移检测，至少包含CFP-YFP（390nm激发，649nm和513nm双波长检测）、FITC-TRITC（485nm激发，525nm和595nm双波长检测）。</w:t>
            </w:r>
          </w:p>
          <w:p w14:paraId="5BE8C626">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8.标准配套软件</w:t>
            </w:r>
          </w:p>
          <w:p w14:paraId="0C0680C4">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8.1仪器控制和高级分析功能二合一，实时显示运行结果，一键选择列表、板布局等多种直观数据显示方式。</w:t>
            </w:r>
          </w:p>
          <w:p w14:paraId="70869453">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▲8.2具备中文、英文</w:t>
            </w:r>
            <w:r>
              <w:rPr>
                <w:rFonts w:hint="eastAsia" w:ascii="宋体" w:hAnsi="宋体" w:eastAsia="宋体" w:cs="宋体"/>
                <w:color w:val="000000"/>
                <w:kern w:val="0"/>
                <w:sz w:val="20"/>
                <w:szCs w:val="20"/>
                <w:lang w:bidi="ar"/>
                <w14:textFill>
                  <w14:solidFill>
                    <w14:srgbClr w14:val="000000">
                      <w14:lumMod w14:val="95000"/>
                      <w14:lumOff w14:val="5000"/>
                    </w14:srgbClr>
                  </w14:solidFill>
                </w14:textFill>
              </w:rPr>
              <w:t>、西班牙语</w:t>
            </w:r>
            <w:r>
              <w:rPr>
                <w:rFonts w:hint="eastAsia" w:ascii="宋体" w:hAnsi="宋体" w:eastAsia="宋体" w:cs="宋体"/>
                <w:color w:val="000000"/>
                <w:kern w:val="0"/>
                <w:sz w:val="20"/>
                <w:szCs w:val="20"/>
                <w:lang w:bidi="ar"/>
              </w:rPr>
              <w:t>等≥8种语言选择设置，达到Windows 直观界面，图标按钮显示基于 SQL 数据库</w:t>
            </w:r>
          </w:p>
          <w:p w14:paraId="75F52C09">
            <w:pPr>
              <w:widowControl/>
              <w:jc w:val="left"/>
              <w:textAlignment w:val="top"/>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w:t>
            </w:r>
          </w:p>
          <w:p w14:paraId="59A74716">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8.3配套软件支持权限设置和追踪操作记录，权限设置≥5项，支持登录密码控制，支持权限设置和操作记录追踪的账户数≥10个。</w:t>
            </w:r>
          </w:p>
          <w:p w14:paraId="015EED8A">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8.4智能化安全监控设置，测量数据自动保存，断电后恢复，分液位置及分液量错误报警等。</w:t>
            </w:r>
          </w:p>
          <w:p w14:paraId="31CB72BE">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8.5智能化自动填充铺板布局，可自定义测量模板及命名、颜色设置。</w:t>
            </w:r>
          </w:p>
          <w:p w14:paraId="64FDB1EC">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8.6软件可控制仪器进板出板、孵育、震荡以及内置自动分液器的冲洗、分液操作，可实现同步分液和信号测量功能，满足多步骤快速动力学反应的需要。</w:t>
            </w:r>
          </w:p>
          <w:p w14:paraId="739F9A56">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8.7可自定义Blank subtraction, Curve Fit, Cut-Off 等计算模式；自动孔间光程校准；数据测量及分析过程可包括：扣减本底、定量曲线拟合，动力学计算，临界值分析和质控等。</w:t>
            </w:r>
          </w:p>
          <w:p w14:paraId="4CF0D778">
            <w:pPr>
              <w:widowControl/>
              <w:jc w:val="left"/>
              <w:textAlignment w:val="top"/>
              <w:rPr>
                <w:rFonts w:hint="eastAsia" w:ascii="宋体" w:hAnsi="宋体" w:eastAsia="宋体" w:cs="宋体"/>
                <w:b/>
                <w:bCs/>
                <w:color w:val="000000"/>
                <w:kern w:val="0"/>
                <w:szCs w:val="21"/>
                <w:lang w:bidi="ar"/>
              </w:rPr>
            </w:pPr>
            <w:r>
              <w:rPr>
                <w:rFonts w:hint="eastAsia" w:ascii="宋体" w:hAnsi="宋体" w:eastAsia="宋体" w:cs="宋体"/>
                <w:color w:val="000000"/>
                <w:kern w:val="0"/>
                <w:sz w:val="20"/>
                <w:szCs w:val="20"/>
                <w:lang w:bidi="ar"/>
              </w:rPr>
              <w:t>★8.8具备软件支持平行线分析功能，支持将多个曲线拟合到统计模型中，达到以评估它们的平行性</w:t>
            </w:r>
            <w:r>
              <w:rPr>
                <w:rFonts w:hint="eastAsia" w:ascii="宋体" w:hAnsi="宋体" w:eastAsia="宋体" w:cs="宋体"/>
                <w:b/>
                <w:bCs/>
                <w:color w:val="000000"/>
                <w:kern w:val="0"/>
                <w:szCs w:val="21"/>
                <w:lang w:bidi="ar"/>
              </w:rPr>
              <w:t>（响应时需提供软件设置和数据截图予以证明）</w:t>
            </w:r>
          </w:p>
          <w:p w14:paraId="4E86E4BE">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8.9具有强大的结果报告输出功能，输出格式包括但不限于xls, pdf, txt and xml 格式，且能够一键输出 excel，PDF 表格，支持报告email 发送。</w:t>
            </w:r>
          </w:p>
          <w:p w14:paraId="2802382C">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8.10软件内置在线程序库，方便调用多种预编辑好的程序。</w:t>
            </w:r>
          </w:p>
          <w:p w14:paraId="7831C014">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9. 配置要求</w:t>
            </w:r>
          </w:p>
          <w:p w14:paraId="27A2C623">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9.1全功能酶标仪主机：包括光吸收（光栅）、荧光（四光栅）、化学发光（光栅+滤光片光路）、时间分辨荧光（光栅+滤光片光路）功能。</w:t>
            </w:r>
          </w:p>
          <w:p w14:paraId="2A9804C2">
            <w:pPr>
              <w:widowControl/>
              <w:jc w:val="left"/>
              <w:textAlignment w:val="top"/>
              <w:rPr>
                <w:rFonts w:hint="eastAsia" w:ascii="宋体" w:hAnsi="宋体" w:eastAsia="宋体" w:cs="宋体"/>
                <w:color w:val="000000"/>
                <w:sz w:val="20"/>
                <w:szCs w:val="20"/>
              </w:rPr>
            </w:pPr>
            <w:r>
              <w:rPr>
                <w:rFonts w:hint="eastAsia" w:ascii="宋体" w:hAnsi="宋体" w:eastAsia="宋体" w:cs="Times New Roman"/>
                <w:lang w:bidi="ar"/>
              </w:rPr>
              <w:t>10.配置现场数据处理终端，能够安装仪器运行所需的操作软件，并能完成数据处理和输出。</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B4A5D">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09AFD">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78507A27">
        <w:tblPrEx>
          <w:tblCellMar>
            <w:top w:w="0" w:type="dxa"/>
            <w:left w:w="108" w:type="dxa"/>
            <w:bottom w:w="0" w:type="dxa"/>
            <w:right w:w="108" w:type="dxa"/>
          </w:tblCellMar>
        </w:tblPrEx>
        <w:trPr>
          <w:trHeight w:val="3972"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099C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47</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808B6">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超净工作台</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5FD30867">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1.洁净台分类：垂直层流、双人单面操作。</w:t>
            </w:r>
          </w:p>
          <w:p w14:paraId="3DF652E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2.气流流速：0.30m/s-0.45m/s。</w:t>
            </w:r>
          </w:p>
          <w:p w14:paraId="2DD7289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3.产品安全性：菌落数≤0.5CFU/30min；洁净ISO等级5（100级)。</w:t>
            </w:r>
          </w:p>
          <w:p w14:paraId="323CAC9A">
            <w:pPr>
              <w:widowControl/>
              <w:jc w:val="left"/>
              <w:textAlignment w:val="top"/>
              <w:rPr>
                <w:rFonts w:hint="eastAsia" w:ascii="宋体" w:hAnsi="宋体" w:eastAsia="宋体" w:cs="宋体"/>
                <w:b/>
                <w:bCs/>
                <w:color w:val="000000"/>
                <w:kern w:val="0"/>
                <w:szCs w:val="21"/>
                <w:lang w:bidi="ar"/>
              </w:rPr>
            </w:pPr>
            <w:r>
              <w:rPr>
                <w:rFonts w:hint="eastAsia" w:ascii="宋体" w:hAnsi="宋体" w:eastAsia="宋体" w:cs="宋体"/>
                <w:color w:val="000000"/>
                <w:kern w:val="0"/>
                <w:sz w:val="20"/>
                <w:szCs w:val="20"/>
                <w:lang w:bidi="ar"/>
              </w:rPr>
              <w:t>4.洁净台前视窗采用不小于5mm厚钢化玻璃的手动视窗，通过手动控制，达到可以在行程范围内的任意高度停止，双侧玻璃视窗</w:t>
            </w:r>
            <w:r>
              <w:rPr>
                <w:rFonts w:hint="eastAsia" w:ascii="宋体" w:hAnsi="宋体" w:eastAsia="宋体" w:cs="宋体"/>
                <w:b/>
                <w:bCs/>
                <w:color w:val="000000"/>
                <w:kern w:val="0"/>
                <w:szCs w:val="21"/>
                <w:lang w:bidi="ar"/>
              </w:rPr>
              <w:t>。</w:t>
            </w:r>
          </w:p>
          <w:p w14:paraId="5CB66CE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5.照明：≥350lx。</w:t>
            </w:r>
          </w:p>
          <w:p w14:paraId="5D7DD04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6.脚轮设计，方便柜体移动与固定。</w:t>
            </w:r>
          </w:p>
          <w:p w14:paraId="3EAB601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7.紫外灯与风机、日光灯具有互锁功能，即当风机、日光灯工作时，紫外灯无法开启，保护操作人员。</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27D0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3E04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34362AAD">
        <w:tblPrEx>
          <w:tblCellMar>
            <w:top w:w="0" w:type="dxa"/>
            <w:left w:w="108" w:type="dxa"/>
            <w:bottom w:w="0" w:type="dxa"/>
            <w:right w:w="108" w:type="dxa"/>
          </w:tblCellMar>
        </w:tblPrEx>
        <w:trPr>
          <w:trHeight w:val="7652"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B335D">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48</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E40B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细胞培养箱</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43267737">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1.工作环境温度：5℃-40℃。</w:t>
            </w:r>
          </w:p>
          <w:p w14:paraId="35B849A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2.工作环境湿度：20%-80%。</w:t>
            </w:r>
          </w:p>
          <w:p w14:paraId="79EF63B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3.工作体积：≥184L。</w:t>
            </w:r>
          </w:p>
          <w:p w14:paraId="6FD2271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4.标配搁板数目：≥3块</w:t>
            </w:r>
          </w:p>
          <w:p w14:paraId="6C32B10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5.温度控制范围：高于室温5℃～55℃。</w:t>
            </w:r>
          </w:p>
          <w:p w14:paraId="6FBEA71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6.温度控制精度：≤±0.1℃。</w:t>
            </w:r>
          </w:p>
          <w:p w14:paraId="001C40A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7.温度均一性：≤±0.3℃(在37℃下)。</w:t>
            </w:r>
          </w:p>
          <w:p w14:paraId="56E9C5F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8.温度跟踪报警：有。</w:t>
            </w:r>
          </w:p>
          <w:p w14:paraId="615BCF5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9.温度显示：绿色LED。</w:t>
            </w:r>
          </w:p>
          <w:p w14:paraId="1A2E69E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10.保温方式：直热。</w:t>
            </w:r>
          </w:p>
          <w:p w14:paraId="01A2150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11.二氧化碳控制范围：0%～20%。</w:t>
            </w:r>
          </w:p>
          <w:p w14:paraId="420D209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12.二氧化碳控制精度：±0.1%。</w:t>
            </w:r>
          </w:p>
          <w:p w14:paraId="0CA7BDB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13.二氧化碳跟踪报警：有。</w:t>
            </w:r>
          </w:p>
          <w:p w14:paraId="1A25BC4C">
            <w:pPr>
              <w:widowControl/>
              <w:jc w:val="left"/>
              <w:textAlignment w:val="top"/>
              <w:rPr>
                <w:rFonts w:hint="eastAsia" w:ascii="宋体" w:hAnsi="宋体" w:eastAsia="宋体" w:cs="宋体"/>
                <w:b/>
                <w:bCs/>
                <w:color w:val="000000"/>
                <w:kern w:val="0"/>
                <w:szCs w:val="21"/>
                <w:lang w:bidi="ar"/>
              </w:rPr>
            </w:pPr>
            <w:r>
              <w:rPr>
                <w:rFonts w:hint="eastAsia" w:ascii="宋体" w:hAnsi="宋体" w:eastAsia="宋体" w:cs="宋体"/>
                <w:color w:val="000000"/>
                <w:kern w:val="0"/>
                <w:sz w:val="20"/>
                <w:szCs w:val="20"/>
                <w:lang w:bidi="ar"/>
              </w:rPr>
              <w:t>▲14.二氧化碳浓度控制：具备TC 热导传感器</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w:t>
            </w:r>
          </w:p>
          <w:p w14:paraId="34B56688">
            <w:pPr>
              <w:widowControl/>
              <w:jc w:val="left"/>
              <w:textAlignment w:val="top"/>
              <w:rPr>
                <w:rFonts w:hint="eastAsia" w:ascii="宋体" w:hAnsi="宋体" w:eastAsia="宋体" w:cs="宋体"/>
                <w:b/>
                <w:bCs/>
                <w:color w:val="000000"/>
                <w:kern w:val="0"/>
                <w:szCs w:val="21"/>
                <w:lang w:bidi="ar"/>
              </w:rPr>
            </w:pPr>
            <w:r>
              <w:rPr>
                <w:rFonts w:hint="eastAsia" w:ascii="宋体" w:hAnsi="宋体" w:eastAsia="宋体" w:cs="宋体"/>
                <w:color w:val="000000"/>
                <w:kern w:val="0"/>
                <w:sz w:val="20"/>
                <w:szCs w:val="20"/>
                <w:lang w:bidi="ar"/>
              </w:rPr>
              <w:t>15. HEPA高效过滤系统在关门5分钟内使腔体达到100级洁净指标，每隔1分钟腔体内空气自动过滤循环一次</w:t>
            </w:r>
            <w:r>
              <w:rPr>
                <w:rFonts w:hint="eastAsia" w:ascii="宋体" w:hAnsi="宋体" w:eastAsia="宋体" w:cs="宋体"/>
                <w:b/>
                <w:bCs/>
                <w:color w:val="000000"/>
                <w:kern w:val="0"/>
                <w:szCs w:val="21"/>
                <w:lang w:bidi="ar"/>
              </w:rPr>
              <w:t>。</w:t>
            </w:r>
          </w:p>
          <w:p w14:paraId="2E2B4EB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16.具有程序自检功能。</w:t>
            </w:r>
          </w:p>
          <w:p w14:paraId="4E779E1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17.显示控制：LED数字显示温度和二氧化碳浓度。</w:t>
            </w:r>
          </w:p>
          <w:p w14:paraId="5DF9C45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18.断电自动启动：有。</w:t>
            </w:r>
          </w:p>
          <w:p w14:paraId="51EEC0A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19.具有≥140℃干热灭菌程序，灭菌周期为14h，≥140℃下灭菌时间小于3h。</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0DE11">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41C80">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7A237350">
        <w:tblPrEx>
          <w:tblCellMar>
            <w:top w:w="0" w:type="dxa"/>
            <w:left w:w="108" w:type="dxa"/>
            <w:bottom w:w="0" w:type="dxa"/>
            <w:right w:w="108" w:type="dxa"/>
          </w:tblCellMar>
        </w:tblPrEx>
        <w:trPr>
          <w:trHeight w:val="8502"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FEFF6">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49</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5844A">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倒置显微镜</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4260CF25">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1.光学系统：模块化无限远光学系统。</w:t>
            </w:r>
          </w:p>
          <w:p w14:paraId="16F7842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2.观察筒：铰链式双目，瞳距调节范围≥53mm-75mm。</w:t>
            </w:r>
          </w:p>
          <w:p w14:paraId="3094969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3.目镜：大视野平场目镜，高眼点，可调屈光度，视场数≥22。</w:t>
            </w:r>
          </w:p>
          <w:p w14:paraId="4F6300D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4.物镜：</w:t>
            </w:r>
          </w:p>
          <w:p w14:paraId="24232E7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4.1无限远长工作距离平场消色差相衬物镜Plan4X/NA≥0.12PH 工作距离≥10.8mm。</w:t>
            </w:r>
          </w:p>
          <w:p w14:paraId="74BA4B3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4.2无限远长工作距离平场消色差相衬物镜Plan10X/NA≥0.26 PH 工作距离≥10.5mm。</w:t>
            </w:r>
          </w:p>
          <w:p w14:paraId="29E481D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4.3无限远长工作距离平场消色差相衬物镜Plan20X/NA≥0.45 PH 工作距离≥5mm。</w:t>
            </w:r>
          </w:p>
          <w:p w14:paraId="3E557DC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4.4无限远长工作距离平场消色差相衬物镜Plan40X/NA≥0.58 PH 工作距离≥2.5mm。</w:t>
            </w:r>
          </w:p>
          <w:p w14:paraId="70C80ED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5.调焦机构：粗微调同轴，配有限位装置和锁紧装置，低手位同轴调焦手轮，微调手轮格值≤0.002mm。</w:t>
            </w:r>
          </w:p>
          <w:p w14:paraId="45EF3BF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6.转换器：转换器≥5孔位，滚珠轴承内定位，有防霉装置。</w:t>
            </w:r>
          </w:p>
          <w:p w14:paraId="05DCE43A">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7.载物台：多功能可拆卸载物台。</w:t>
            </w:r>
          </w:p>
          <w:p w14:paraId="062C48F6">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7.1固定载物台尺寸≥227mm×208mm。</w:t>
            </w:r>
          </w:p>
          <w:p w14:paraId="6BF7A835">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7.2低位同轴柔性XY向移动调节手轮，机械式移动，移动范围≥135mm×77mm。</w:t>
            </w:r>
          </w:p>
          <w:p w14:paraId="16FCE4DB">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7.3圆形透明载物台板：外圈φ≥118mm，内圈φ≥68mm。</w:t>
            </w:r>
          </w:p>
          <w:p w14:paraId="7EE452BD">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7.4水滴载物片（Φ≥118mm）。</w:t>
            </w:r>
          </w:p>
          <w:p w14:paraId="18470AC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7.5多功能载物片（≥34mm×77.5mm、≥86mm×129.5mm、≥57mm×82mm）。</w:t>
            </w:r>
          </w:p>
          <w:p w14:paraId="78765B4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8.预留内置式荧光升级光路，可升级成≥4色荧光显微镜</w:t>
            </w:r>
          </w:p>
          <w:p w14:paraId="6F986F7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9.聚光镜：相衬聚光镜NA≥0.45，工作距离≥55mm。</w:t>
            </w:r>
          </w:p>
          <w:p w14:paraId="45F9C6F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10.LED透射照明系统：LED光源，寿命≥20000h，亮度可调，配三孔相衬环板，10X、20X相差环。</w:t>
            </w:r>
          </w:p>
          <w:p w14:paraId="1A536A6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11.接口：内置一体化专用0.75倍接口。</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65F8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C14B7">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03491E38">
        <w:tblPrEx>
          <w:tblCellMar>
            <w:top w:w="0" w:type="dxa"/>
            <w:left w:w="108" w:type="dxa"/>
            <w:bottom w:w="0" w:type="dxa"/>
            <w:right w:w="108" w:type="dxa"/>
          </w:tblCellMar>
        </w:tblPrEx>
        <w:trPr>
          <w:trHeight w:val="1045"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BC52A">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50</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7B4E7">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冰箱</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6203B0D2">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1.总容量：≥118 L。</w:t>
            </w:r>
          </w:p>
          <w:p w14:paraId="42A35D4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2.冷冻室：≥30 L。</w:t>
            </w:r>
          </w:p>
          <w:p w14:paraId="103D4ED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3.冷藏室：≥88 L。</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6923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3B7A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5C803199">
        <w:tblPrEx>
          <w:tblCellMar>
            <w:top w:w="0" w:type="dxa"/>
            <w:left w:w="108" w:type="dxa"/>
            <w:bottom w:w="0" w:type="dxa"/>
            <w:right w:w="108" w:type="dxa"/>
          </w:tblCellMar>
        </w:tblPrEx>
        <w:trPr>
          <w:trHeight w:val="1425"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905B0">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51</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C0563">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冷冻干燥箱</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30676648">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1.冻干面积：≥0.12㎡。</w:t>
            </w:r>
          </w:p>
          <w:p w14:paraId="09CB9E4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2.捕水容量：≥3kg/批。</w:t>
            </w:r>
          </w:p>
          <w:p w14:paraId="6384575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3.冷阱最低温度：≤-56℃ (空载）。</w:t>
            </w:r>
          </w:p>
          <w:p w14:paraId="6716C7D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4.-80℃冷阱最低温度：≤-80℃（空载）。</w:t>
            </w:r>
          </w:p>
          <w:p w14:paraId="6FFD884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5.极限真空度：≤5Pa（空载）。</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0F6D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A45AF">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0800F40D">
        <w:tblPrEx>
          <w:tblCellMar>
            <w:top w:w="0" w:type="dxa"/>
            <w:left w:w="108" w:type="dxa"/>
            <w:bottom w:w="0" w:type="dxa"/>
            <w:right w:w="108" w:type="dxa"/>
          </w:tblCellMar>
        </w:tblPrEx>
        <w:trPr>
          <w:trHeight w:val="6670"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BB16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52</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232DC">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荧光倒置显微镜</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00F5E55D">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1.一体式倒置荧光显微镜。</w:t>
            </w:r>
          </w:p>
          <w:p w14:paraId="746CC02D">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2.主机配置</w:t>
            </w:r>
          </w:p>
          <w:p w14:paraId="0B1582AD">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2.1主机为无目镜倒置显微镜设计，无限远校正光学系统。</w:t>
            </w:r>
          </w:p>
          <w:p w14:paraId="5342DD52">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2.2配备一块可调倾斜度的高清显示屏，屏幕尺寸≥18英寸。</w:t>
            </w:r>
          </w:p>
          <w:p w14:paraId="47316EA7">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2.3仪器配备专用暗盒设计，可在自然光条件下进行荧光成像，后期可升级磁吸式封闭暗盒，拓展温控、活细胞、微流控等应用。</w:t>
            </w:r>
          </w:p>
          <w:p w14:paraId="4E6ECAAB">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3.光源系统</w:t>
            </w:r>
          </w:p>
          <w:p w14:paraId="0B61DF56">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3.1透射光源：配备≥3个透射光源，以提升使用寿命，每个光源寿命≥5万小时，总寿命≥10万小时。</w:t>
            </w:r>
          </w:p>
          <w:p w14:paraId="44C19838">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3.2自动化透射光光源：光源开启、关闭、切换均可通过鼠标操作，无需手动机械切换。</w:t>
            </w:r>
          </w:p>
          <w:p w14:paraId="51F97C1A">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3.3聚光镜：长工作距离4孔多功能聚光镜，工作距离50mm。</w:t>
            </w:r>
          </w:p>
          <w:p w14:paraId="6B1AD087">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3.4配备3个聚光镜插片，包括均光片、4X针孔聚光镜插片、挡光片，以方便不同情境下，增强明场成像效果。</w:t>
            </w:r>
          </w:p>
          <w:p w14:paraId="7EBEB823">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3.5荧光光源：配备≥4个荧光光源，荧光光源由光源、聚光透镜、二向色镜、带通滤光片、电路板等组成一个整体，可手动拆卸和安装，安装后机器可自动识别，单个寿命≥5万小时，总寿命≥15万小时。</w:t>
            </w:r>
          </w:p>
          <w:p w14:paraId="75AB0289">
            <w:pPr>
              <w:widowControl/>
              <w:jc w:val="left"/>
              <w:textAlignment w:val="top"/>
              <w:rPr>
                <w:rFonts w:hint="eastAsia" w:ascii="宋体" w:hAnsi="宋体" w:eastAsia="宋体" w:cs="宋体"/>
                <w:b/>
                <w:bCs/>
                <w:color w:val="000000"/>
                <w:kern w:val="0"/>
                <w:szCs w:val="21"/>
                <w:lang w:bidi="ar"/>
              </w:rPr>
            </w:pPr>
            <w:r>
              <w:rPr>
                <w:rFonts w:hint="eastAsia" w:ascii="宋体" w:hAnsi="宋体" w:eastAsia="宋体" w:cs="宋体"/>
                <w:color w:val="000000"/>
                <w:kern w:val="0"/>
                <w:sz w:val="20"/>
                <w:szCs w:val="20"/>
                <w:lang w:bidi="ar"/>
              </w:rPr>
              <w:t>★3.6自动化荧光光源：具备光源开启、关闭、切换均可通过鼠标操作，切换方式为自动平行切换，达到支持自动多通道z轴层扫。</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w:t>
            </w:r>
          </w:p>
          <w:p w14:paraId="3C8D2A4C">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4.物镜系统</w:t>
            </w:r>
          </w:p>
          <w:p w14:paraId="0E9C6813">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4.1镜转换器：带编码的5孔物镜转盘，切换后仪器自动识别放大倍数，标尺可自动切换至合适比例。</w:t>
            </w:r>
          </w:p>
          <w:p w14:paraId="215158CD">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4.2采用≥45mm等焦距离的RMS螺纹物镜，支持消色差、半复消色差、超级复消色差镜头。</w:t>
            </w:r>
          </w:p>
          <w:p w14:paraId="48C87748">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4.3物镜放大倍数：原厂1.25-100X物镜，包括油镜、空气镜。</w:t>
            </w:r>
          </w:p>
          <w:p w14:paraId="4D94D195">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4.4配备4-40X物镜，包括4X荧光相差（NA：0.13）、10X荧光相差（NA：0.3）、20X荧光物镜（NA：0.45）、40X荧光物镜（NA：0.65）。</w:t>
            </w:r>
          </w:p>
          <w:p w14:paraId="61392575">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5.载物台</w:t>
            </w:r>
          </w:p>
          <w:p w14:paraId="685EDBA8">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5.1精确定位功能手动载物台，XY轴采用同轴设计，移动范围：≥Y80mm，≥X120mm。</w:t>
            </w:r>
          </w:p>
          <w:p w14:paraId="1A1DBA4A">
            <w:pPr>
              <w:widowControl/>
              <w:jc w:val="left"/>
              <w:textAlignment w:val="top"/>
              <w:rPr>
                <w:rFonts w:hint="eastAsia" w:ascii="宋体" w:hAnsi="宋体" w:eastAsia="宋体" w:cs="宋体"/>
                <w:b/>
                <w:bCs/>
                <w:color w:val="000000"/>
                <w:kern w:val="0"/>
                <w:szCs w:val="21"/>
                <w:lang w:bidi="ar"/>
              </w:rPr>
            </w:pPr>
            <w:r>
              <w:rPr>
                <w:rFonts w:hint="eastAsia" w:ascii="宋体" w:hAnsi="宋体" w:eastAsia="宋体" w:cs="宋体"/>
                <w:color w:val="000000"/>
                <w:kern w:val="0"/>
                <w:sz w:val="20"/>
                <w:szCs w:val="20"/>
                <w:lang w:bidi="ar"/>
              </w:rPr>
              <w:t>▲5.2具备支持编码XY轴或全自动XY轴，配备高精度位置传感器，达到可自动识别当前孔，并可根据XY轴标记进行重定位，定位误差500um</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w:t>
            </w:r>
          </w:p>
          <w:p w14:paraId="01805ED6">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5.3配备高精度电动Z轴，单次步进精度≤0.2um，重复精度≥1um，移动速度≥2.5mm/s，移动距离≥13mm。</w:t>
            </w:r>
          </w:p>
          <w:p w14:paraId="34C2E2D4">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5.4支持自动聚焦和Z轴锁定功能，不同荧光通道可设定不同Z轴位置，并锁定差值，从而实现多通道Z轴协调移动和一键多通道拍摄。</w:t>
            </w:r>
          </w:p>
          <w:p w14:paraId="3384A381">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5.5载物台适配器：配备≥3个适配器，包括带夹具支持定位功能的孔板适配器、普通切片适配器和通用适配器。</w:t>
            </w:r>
          </w:p>
          <w:p w14:paraId="02814B98">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6.相机</w:t>
            </w:r>
          </w:p>
          <w:p w14:paraId="353DB922">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6.1配备高灵敏度单色专用CMOS，320万像素，3.45um像素元尺寸。</w:t>
            </w:r>
          </w:p>
          <w:p w14:paraId="1BF42450">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6.2相机QE：72%（525nm波长下）。</w:t>
            </w:r>
          </w:p>
          <w:p w14:paraId="0021C075">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6.3相机最大帧率≥30FPS。</w:t>
            </w:r>
          </w:p>
          <w:p w14:paraId="29E10ADB">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7.软件功能</w:t>
            </w:r>
          </w:p>
          <w:p w14:paraId="396A3430">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7.1一键多通道成像：仪器可根据不同通道位置设定，设置好后仅需一键即可实现自动切换光源，自动调整光强，自动应用z轴，自动依次多通道拍摄，并生成多通道叠加图片。</w:t>
            </w:r>
          </w:p>
          <w:p w14:paraId="3A60DDA2">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7.2通道延时摄影：仪器支持动力学成像功能，可实现固定时间间隔，自动拍摄多通道图像，拍摄前可根据设定自动聚焦，图片可自动保存，还可生成动力学视频。</w:t>
            </w:r>
          </w:p>
          <w:p w14:paraId="312356E3">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7.3拍摄条件保存和应用：软件可记录当前拍摄条件，下次使用时可自动应用多通道的光源相机参数和Z轴位置。</w:t>
            </w:r>
          </w:p>
          <w:p w14:paraId="33C8FD6F">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7.4多通道Z轴层扫：仪器支持100层的Z轴层扫，自动依次层扫不同荧光通道并生成最大投影照片。</w:t>
            </w:r>
          </w:p>
          <w:p w14:paraId="40AF634A">
            <w:pPr>
              <w:widowControl/>
              <w:jc w:val="left"/>
              <w:textAlignment w:val="top"/>
              <w:rPr>
                <w:rFonts w:hint="eastAsia" w:ascii="宋体" w:hAnsi="宋体" w:eastAsia="宋体" w:cs="宋体"/>
                <w:b/>
                <w:bCs/>
                <w:color w:val="000000"/>
                <w:kern w:val="0"/>
                <w:szCs w:val="21"/>
                <w:lang w:bidi="ar"/>
              </w:rPr>
            </w:pPr>
            <w:r>
              <w:rPr>
                <w:rFonts w:hint="eastAsia" w:ascii="宋体" w:hAnsi="宋体" w:eastAsia="宋体" w:cs="宋体"/>
                <w:color w:val="000000"/>
                <w:kern w:val="0"/>
                <w:sz w:val="20"/>
                <w:szCs w:val="20"/>
                <w:lang w:bidi="ar"/>
              </w:rPr>
              <w:t>▲7.5像素偏移校正：具备软件支持手动校正多通道像素偏移，达到以补偿因物理结构和色差等因素导致的多通道重叠问题，最大校正距离≥2um</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w:t>
            </w:r>
          </w:p>
          <w:p w14:paraId="2380F12A">
            <w:pPr>
              <w:widowControl/>
              <w:jc w:val="left"/>
              <w:textAlignment w:val="top"/>
              <w:rPr>
                <w:rFonts w:hint="eastAsia" w:ascii="宋体" w:hAnsi="宋体" w:eastAsia="宋体" w:cs="宋体"/>
                <w:b/>
                <w:bCs/>
                <w:color w:val="000000"/>
                <w:kern w:val="0"/>
                <w:szCs w:val="21"/>
                <w:lang w:bidi="ar"/>
              </w:rPr>
            </w:pPr>
            <w:r>
              <w:rPr>
                <w:rFonts w:hint="eastAsia" w:ascii="宋体" w:hAnsi="宋体" w:eastAsia="宋体" w:cs="宋体"/>
                <w:color w:val="000000"/>
                <w:kern w:val="0"/>
                <w:sz w:val="20"/>
                <w:szCs w:val="20"/>
                <w:lang w:bidi="ar"/>
              </w:rPr>
              <w:t>▲7.6物镜同轴共焦校正：具备专用物镜校正载玻片，达到可根据软件提示进行物镜同轴共焦校正，校正玻片参考目标数8个，以适配不同物镜使用</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w:t>
            </w:r>
          </w:p>
          <w:p w14:paraId="24B0A596">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8.数据分析</w:t>
            </w:r>
          </w:p>
          <w:p w14:paraId="27CD305A">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8.1批量融合度分析功能，采用专用机器学习模块，仅需圈选目标细胞信号和背景信号，软件即可自动计算融合度数值，多张图片分析时可采用批处理功能。</w:t>
            </w:r>
          </w:p>
          <w:p w14:paraId="05C4C3C4">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8.2批量细胞核计数模块，采用专用机器学习模块，对细胞核和背景信号进行圈选后，利用批处理能力，可快速高通量的对多张图片进行统一分析处理。</w:t>
            </w:r>
          </w:p>
          <w:p w14:paraId="6896EC39">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8.3转染效率分析，可进行面积法转染效率分析，并支持批处理。</w:t>
            </w:r>
          </w:p>
          <w:p w14:paraId="00F1457D">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8.4支持交互式测量，包括长度、面积、3维等信息，同时支持手动计数等数据分析。</w:t>
            </w:r>
          </w:p>
          <w:p w14:paraId="43038CC6">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9.透射光增强模块</w:t>
            </w:r>
          </w:p>
          <w:p w14:paraId="7A3C62E4">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9.1 配备透射光阻挡片，在荧光成像时可防止聚光镜的反射影响。</w:t>
            </w:r>
          </w:p>
          <w:p w14:paraId="79AABDC2">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9.2 配备4X物镜pinhole，可用于明场成像对比度提升。</w:t>
            </w:r>
          </w:p>
          <w:p w14:paraId="263EC246">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9.3 配备均光片，提升透射光照明均匀度。</w:t>
            </w:r>
          </w:p>
          <w:p w14:paraId="50AFC894">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10.配置清单</w:t>
            </w:r>
          </w:p>
          <w:p w14:paraId="02AEA4BE">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10.1 显微镜主机 1台，对细胞进行多色荧光观察、明场观察。</w:t>
            </w:r>
          </w:p>
          <w:p w14:paraId="00F2D1BD">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10.2 物镜 4个，4X物镜一个；10X物镜一个；20X物镜一个；40X物镜 一个。</w:t>
            </w:r>
          </w:p>
          <w:p w14:paraId="7E64E26D">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10.3 光立方 4个，DAPI、GFP、RFP、Cy5。</w:t>
            </w:r>
          </w:p>
          <w:p w14:paraId="7F4F6B38">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10.4 通用适配器 1个，放置细胞培养板进行观察。</w:t>
            </w:r>
          </w:p>
          <w:p w14:paraId="24D14BA4">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10.5 载玻片适配器 1个，放置载玻片进行观察。</w:t>
            </w:r>
          </w:p>
          <w:p w14:paraId="0C4F95A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10.6 分析软件 3套，支持细胞融合度分析、转染效率分析、荧光计数批处理。</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C7DD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52D20">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1D27B638">
        <w:tblPrEx>
          <w:tblCellMar>
            <w:top w:w="0" w:type="dxa"/>
            <w:left w:w="108" w:type="dxa"/>
            <w:bottom w:w="0" w:type="dxa"/>
            <w:right w:w="108" w:type="dxa"/>
          </w:tblCellMar>
        </w:tblPrEx>
        <w:trPr>
          <w:trHeight w:val="3899"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F5EE1">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53</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7B48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纳米粒度电位仪及工作站</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4AA49FB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1.粒度</w:t>
            </w:r>
          </w:p>
          <w:p w14:paraId="2890FE9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1.1测量角度：90°。</w:t>
            </w:r>
          </w:p>
          <w:p w14:paraId="5D82992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1.2粒度范围：0.3nm-15μm。</w:t>
            </w:r>
          </w:p>
          <w:p w14:paraId="763B3C6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1.3最小样品量：≤3μL 微量毛细管粒度样品池。</w:t>
            </w:r>
          </w:p>
          <w:p w14:paraId="5988E1D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1.4最小样品浓度：≤0.1mg/mL溶菌酶。</w:t>
            </w:r>
          </w:p>
          <w:p w14:paraId="734D6F7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1.5最大样品浓度：≥40%w/v。</w:t>
            </w:r>
          </w:p>
          <w:p w14:paraId="7CB9169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1.6粒度反演算法包括但不限于 Cumulants, General model, CONTIN, NNLS等，且能够自动选择，无需用户设置。</w:t>
            </w:r>
          </w:p>
          <w:p w14:paraId="63A3B4A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2.ZETA电位</w:t>
            </w:r>
          </w:p>
          <w:p w14:paraId="1A5768B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2.1测量方法：LDE，PALS；</w:t>
            </w:r>
          </w:p>
          <w:p w14:paraId="2659888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2.2 ZETA电位范围：无实际限制。</w:t>
            </w:r>
          </w:p>
          <w:p w14:paraId="53D77E8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2.3电泳迁移率范围：＞±20μ·cm/V·s。</w:t>
            </w:r>
          </w:p>
          <w:p w14:paraId="0D1DF8E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2.4最大电导率：270mS/cm。</w:t>
            </w:r>
          </w:p>
          <w:p w14:paraId="51E38DE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2.5适合测量的粒径范围：3nm-120μm。</w:t>
            </w:r>
          </w:p>
          <w:p w14:paraId="21C8207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2.6样品池：具有U形平底毛细管样品池，能够实现均匀的电场强度，稳定的测试结果。</w:t>
            </w:r>
          </w:p>
          <w:p w14:paraId="1592B35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3.分子量</w:t>
            </w:r>
          </w:p>
          <w:p w14:paraId="37F64A2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3.1测量方法：SLS及DLS。</w:t>
            </w:r>
          </w:p>
          <w:p w14:paraId="7E885DB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3.2分子量范围：340Da-20MDa。</w:t>
            </w:r>
          </w:p>
          <w:p w14:paraId="5080064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4.系统</w:t>
            </w:r>
          </w:p>
          <w:p w14:paraId="5A7CBE4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4.1激光器：532nm固体激光器，15mW或50mW。</w:t>
            </w:r>
          </w:p>
          <w:p w14:paraId="7E9BD13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4.2透射率：0%-100%连续调整。</w:t>
            </w:r>
          </w:p>
          <w:p w14:paraId="3AB6837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4.3检测器：高灵敏度PMT或APD。</w:t>
            </w:r>
          </w:p>
          <w:p w14:paraId="06DDA37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4.4相关器;最小采样时间25ns，动态范围大于1011。</w:t>
            </w:r>
          </w:p>
          <w:p w14:paraId="7FD54AD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4.5温度控制范围：-10℃-120℃。</w:t>
            </w:r>
          </w:p>
          <w:p w14:paraId="34A5444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4.6温度控制精度：±0.1℃。</w:t>
            </w:r>
          </w:p>
          <w:p w14:paraId="4338D20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4.7冷凝控制：干燥气体或氮气吹扫。</w:t>
            </w:r>
          </w:p>
          <w:p w14:paraId="75DE0A8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4.8工作环境：温度+10℃-+35℃，相对湿度35%-80%，无冷凝。</w:t>
            </w:r>
          </w:p>
          <w:p w14:paraId="6247529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4.9计算机接口：USB2.0或以上。</w:t>
            </w:r>
          </w:p>
          <w:p w14:paraId="6538011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5.控制软件</w:t>
            </w:r>
          </w:p>
          <w:p w14:paraId="308F66F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5.1标准化操作：具有SOP标准化操作规程，让不同实验室、不同实验员间的测量按照同一标准进行，测量结果更具可比性。</w:t>
            </w:r>
          </w:p>
          <w:p w14:paraId="086ECD4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5.2数据输出：提供测量数据输出功能，方便用户以自定义的图、表方式查看、对比测量结果。</w:t>
            </w:r>
          </w:p>
          <w:p w14:paraId="1DC50C2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5.3脱机运行：控制软件可以脱机运行，允许用户随时查看测量结果。</w:t>
            </w:r>
          </w:p>
          <w:p w14:paraId="2B712B3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5.4人工智能：软件全自动运行，一键式测量，无需用户过多设置，利用渐变滤光片自动调整散射光强，自动优化测量参数，以适应不同样品。</w:t>
            </w:r>
          </w:p>
          <w:p w14:paraId="2F92882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5.5操作界面：中英文操作界面。</w:t>
            </w:r>
          </w:p>
          <w:p w14:paraId="237F524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5.6消除“灰尘”：使用分位数检测异常值方法，自适应改变阈值，剔除“灰尘”造成的异常散射光数据，显著提高粒度测量结果的准确性。</w:t>
            </w:r>
          </w:p>
          <w:p w14:paraId="6685755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5.7相关函数的截取：使用相关函数均方根误差阈值(RMSET)法选取相关函数点数，依据样品不同自适应截取相关函数，提高测量结果的准确性。</w:t>
            </w:r>
          </w:p>
          <w:p w14:paraId="28F47ABB">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5.8升级：软件终生升级。</w:t>
            </w:r>
          </w:p>
          <w:p w14:paraId="46151AC5">
            <w:pPr>
              <w:widowControl/>
              <w:jc w:val="left"/>
              <w:textAlignment w:val="top"/>
              <w:rPr>
                <w:rFonts w:ascii="Times New Roman" w:hAnsi="Times New Roman" w:eastAsia="宋体" w:cs="Times New Roman"/>
                <w:lang w:bidi="ar"/>
              </w:rPr>
            </w:pPr>
            <w:r>
              <w:rPr>
                <w:rFonts w:hint="eastAsia" w:ascii="宋体" w:hAnsi="宋体" w:eastAsia="宋体" w:cs="Times New Roman"/>
                <w:lang w:bidi="ar"/>
              </w:rPr>
              <w:t>6.配置现场数据处理终端，能够安装仪器运行所需的操作软件，并能完成数据处理和输出。</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0D24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0D2E7">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4DFF11B4">
        <w:tblPrEx>
          <w:tblCellMar>
            <w:top w:w="0" w:type="dxa"/>
            <w:left w:w="108" w:type="dxa"/>
            <w:bottom w:w="0" w:type="dxa"/>
            <w:right w:w="108" w:type="dxa"/>
          </w:tblCellMar>
        </w:tblPrEx>
        <w:trPr>
          <w:trHeight w:val="3653"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65511">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54</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A3509">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细胞计数仪</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4651552A">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1.直径范围：2μm-400μm。</w:t>
            </w:r>
          </w:p>
          <w:p w14:paraId="393CFD4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2.浓度范围：1×10</w:t>
            </w:r>
            <w:r>
              <w:rPr>
                <w:rFonts w:hint="eastAsia" w:ascii="宋体" w:hAnsi="宋体" w:eastAsia="宋体" w:cs="宋体"/>
                <w:color w:val="000000"/>
                <w:kern w:val="0"/>
                <w:sz w:val="20"/>
                <w:szCs w:val="20"/>
                <w:vertAlign w:val="superscript"/>
                <w:lang w:bidi="ar"/>
              </w:rPr>
              <w:t>4</w:t>
            </w:r>
            <w:r>
              <w:rPr>
                <w:rFonts w:hint="eastAsia" w:ascii="宋体" w:hAnsi="宋体" w:eastAsia="宋体" w:cs="宋体"/>
                <w:color w:val="000000"/>
                <w:kern w:val="0"/>
                <w:sz w:val="20"/>
                <w:szCs w:val="20"/>
                <w:lang w:bidi="ar"/>
              </w:rPr>
              <w:t>cells/mL-3×10</w:t>
            </w:r>
            <w:r>
              <w:rPr>
                <w:rFonts w:hint="eastAsia" w:ascii="宋体" w:hAnsi="宋体" w:eastAsia="宋体" w:cs="宋体"/>
                <w:color w:val="000000"/>
                <w:kern w:val="0"/>
                <w:sz w:val="20"/>
                <w:szCs w:val="20"/>
                <w:vertAlign w:val="superscript"/>
                <w:lang w:bidi="ar"/>
              </w:rPr>
              <w:t>7</w:t>
            </w:r>
            <w:r>
              <w:rPr>
                <w:rFonts w:hint="eastAsia" w:ascii="宋体" w:hAnsi="宋体" w:eastAsia="宋体" w:cs="宋体"/>
                <w:color w:val="000000"/>
                <w:kern w:val="0"/>
                <w:sz w:val="20"/>
                <w:szCs w:val="20"/>
                <w:lang w:bidi="ar"/>
              </w:rPr>
              <w:t>cells/mL。</w:t>
            </w:r>
          </w:p>
          <w:p w14:paraId="73CC8E0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▲3.具备需要样品体积：10μL（100μm计数板）；20μL（200μm计数板），达到直径大小不同的样品可提供至少两种规格计数板使用</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w:t>
            </w:r>
            <w:r>
              <w:rPr>
                <w:rFonts w:hint="eastAsia" w:ascii="宋体" w:hAnsi="宋体" w:eastAsia="宋体" w:cs="宋体"/>
                <w:color w:val="000000"/>
                <w:kern w:val="0"/>
                <w:sz w:val="20"/>
                <w:szCs w:val="20"/>
                <w:lang w:bidi="ar"/>
              </w:rPr>
              <w:t>。</w:t>
            </w:r>
          </w:p>
          <w:p w14:paraId="0970FC6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4.单样品测量时间（单视野）：≤1秒。</w:t>
            </w:r>
          </w:p>
          <w:p w14:paraId="4E8FEA3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5.六个样品（单通道五视野检测）同时测量时间：≤55秒</w:t>
            </w:r>
            <w:r>
              <w:rPr>
                <w:rFonts w:hint="eastAsia" w:ascii="宋体" w:hAnsi="宋体" w:eastAsia="宋体" w:cs="宋体"/>
                <w:b/>
                <w:bCs/>
                <w:color w:val="000000"/>
                <w:kern w:val="0"/>
                <w:szCs w:val="21"/>
                <w:lang w:bidi="ar"/>
              </w:rPr>
              <w:t>。</w:t>
            </w:r>
          </w:p>
          <w:p w14:paraId="0219F27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6.活率测试范围：0%-100%。</w:t>
            </w:r>
          </w:p>
          <w:p w14:paraId="3876891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7.数据存储：≥128G。</w:t>
            </w:r>
          </w:p>
          <w:p w14:paraId="3675AEA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8.数据导出：通过 U 盘，或通过Lims实验室管理系统接口。</w:t>
            </w:r>
          </w:p>
          <w:p w14:paraId="5BBA9DE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9.尺寸：≥宽190mm×深275mm×高367mm。</w:t>
            </w:r>
          </w:p>
          <w:p w14:paraId="2148813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10.重量：≤4.2kg（不含电源）。</w:t>
            </w:r>
          </w:p>
          <w:p w14:paraId="7591A35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11.具有cell gating功能，可对不同尺寸的细胞亚型进行计数。</w:t>
            </w:r>
          </w:p>
          <w:p w14:paraId="6F355A8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12.独有的AutoGating细胞图像色彩阈值调节功能，可满足多种特殊细胞计数的独特需求。</w:t>
            </w:r>
          </w:p>
          <w:p w14:paraId="6CDF30A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13.测量细胞种类包括但不限于：贴壁细胞，悬浮细胞，原代细胞，干细胞，酵母，昆虫细胞，免疫细胞等。</w:t>
            </w:r>
          </w:p>
          <w:p w14:paraId="495B673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14.分析参数：总细胞浓度，活细胞浓度，死细胞浓度，细胞活率，平均细胞直径，细胞圆度，结团率，细胞直径分布图等。</w:t>
            </w:r>
          </w:p>
          <w:p w14:paraId="52947BE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15.采用工业级CMOS≥ 630万像素（彩色高清）光学成像系统，光学4倍放大。</w:t>
            </w:r>
          </w:p>
          <w:p w14:paraId="2561561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▲16.具备多视野成像，同一样品可自动选取≥5个不同位置进行采样分析计数，达到采样量更大，结果更准确.</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w:t>
            </w:r>
            <w:r>
              <w:rPr>
                <w:rFonts w:hint="eastAsia" w:ascii="宋体" w:hAnsi="宋体" w:eastAsia="宋体" w:cs="宋体"/>
                <w:color w:val="000000"/>
                <w:kern w:val="0"/>
                <w:sz w:val="20"/>
                <w:szCs w:val="20"/>
                <w:lang w:bidi="ar"/>
              </w:rPr>
              <w:t>。</w:t>
            </w:r>
          </w:p>
          <w:p w14:paraId="22303A5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17.全自动对焦功能：通过控制Z轴移动，自动搜索符合系统对细胞的算法定义，完成自动对焦，从而实现真正的自动快速精准的细胞图像捕获，同时也可以通过手动调节焦距。</w:t>
            </w:r>
          </w:p>
          <w:p w14:paraId="2F3A3BB3">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18.测量结果全自动保存，测量数据可输出为包括但不限于JPG、pdf及excel格式。</w:t>
            </w:r>
          </w:p>
          <w:p w14:paraId="681108A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19.一体化设计，内置分析软件。</w:t>
            </w:r>
          </w:p>
          <w:p w14:paraId="7087066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20.配置≥7寸高清触摸屏幕，可清晰观察细胞成像效果。</w:t>
            </w:r>
          </w:p>
          <w:p w14:paraId="070E702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▲21.单次可测量1-6个样品，达到满足重复性和梯度浓度等检测需求</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w:t>
            </w:r>
          </w:p>
          <w:p w14:paraId="4FF2031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22.具有数据筛查分析功能：支持数据关键字检索和数据再分析功能，具备浓度稀释计算器和传代计算器功能，可进行细胞增殖曲线（细胞浓度分析、活率分析和直径分析）以及细胞大小直方图等分析功能。</w:t>
            </w:r>
          </w:p>
          <w:p w14:paraId="1C914B5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23.计数板材质：玻璃+PC，一次性六位计数板和可重复使用六位计数板可选。</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54997">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4E3AC">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4E665674">
        <w:tblPrEx>
          <w:tblCellMar>
            <w:top w:w="0" w:type="dxa"/>
            <w:left w:w="108" w:type="dxa"/>
            <w:bottom w:w="0" w:type="dxa"/>
            <w:right w:w="108" w:type="dxa"/>
          </w:tblCellMar>
        </w:tblPrEx>
        <w:trPr>
          <w:trHeight w:val="4255"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70686">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55</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21E3F">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旋转蒸发仪</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4C6F0903">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1.主机：采用铝合金及高强度工程材料。</w:t>
            </w:r>
          </w:p>
          <w:p w14:paraId="5AB9A5C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2.升降方式：跷板式按键，快速电动升降，行程0mm-120mm。</w:t>
            </w:r>
          </w:p>
          <w:p w14:paraId="1F19E6D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3.加热锅：特氟隆复合锅全封闭加热装置，功率≥1.2kW。</w:t>
            </w:r>
          </w:p>
          <w:p w14:paraId="3FBA73C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4.温度范围：温度自动控制数字显示水温。</w:t>
            </w:r>
          </w:p>
          <w:p w14:paraId="6EF80AF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5.控温精度：≤± 1℃。</w:t>
            </w:r>
          </w:p>
          <w:p w14:paraId="3CCA24C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6.到达真空：≥0.098MPa。</w:t>
            </w:r>
          </w:p>
          <w:p w14:paraId="31F2188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7.总功率：≥1.26kW。</w:t>
            </w:r>
          </w:p>
          <w:p w14:paraId="2FA4916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8.功能配置</w:t>
            </w:r>
          </w:p>
          <w:p w14:paraId="576B988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8.1导管密封：采用高强度，高耐磨，PTFE聚四氟乙烯。</w:t>
            </w:r>
          </w:p>
          <w:p w14:paraId="55C83B8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8.2加料：可不停机阀门式连续加料（真空状态下）。</w:t>
            </w:r>
          </w:p>
          <w:p w14:paraId="7DA08FD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8.3冷凝管：采用GG17优质玻璃双回流标准口冷凝管；</w:t>
            </w:r>
          </w:p>
          <w:p w14:paraId="13BC321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8.4标准口收集：1000mL一个。</w:t>
            </w:r>
          </w:p>
          <w:p w14:paraId="35DA21F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8.5旋转瓶：标准口1000mL、2000mL各一个。</w:t>
            </w:r>
          </w:p>
          <w:p w14:paraId="0C563F3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8.6循环水真空泵 1台。</w:t>
            </w:r>
          </w:p>
          <w:p w14:paraId="63C3570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8.7低温泵 1台。</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E76A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B50C4">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03FD97AC">
        <w:tblPrEx>
          <w:tblCellMar>
            <w:top w:w="0" w:type="dxa"/>
            <w:left w:w="108" w:type="dxa"/>
            <w:bottom w:w="0" w:type="dxa"/>
            <w:right w:w="108" w:type="dxa"/>
          </w:tblCellMar>
        </w:tblPrEx>
        <w:trPr>
          <w:trHeight w:val="2557"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F85A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56</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7CFA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平板磁力搅拌器</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2A3728E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1.采用微型直流无刷电机，无极调速，低噪音。</w:t>
            </w:r>
          </w:p>
          <w:p w14:paraId="2128952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2.机身外壳采用PC塑料材质。</w:t>
            </w:r>
          </w:p>
          <w:p w14:paraId="2CEE1F2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3.采用全封闭式钢化玻璃加热盘。</w:t>
            </w:r>
          </w:p>
          <w:p w14:paraId="462EFBC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4.加热按钮温度两档可调，并带有指示灯提示。</w:t>
            </w:r>
          </w:p>
          <w:p w14:paraId="137DF9D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5.最大搅拌量：≥500mL</w:t>
            </w:r>
          </w:p>
          <w:p w14:paraId="62E703F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6.转速范围：启动-2000rpm。</w:t>
            </w:r>
          </w:p>
          <w:p w14:paraId="53914BB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7.电机类型：微型无刷电机。</w:t>
            </w:r>
          </w:p>
          <w:p w14:paraId="0813866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8.控温精度：≤±5%。</w:t>
            </w:r>
          </w:p>
          <w:p w14:paraId="7017D0B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9.工作盘材质：钢化玻璃。</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FF31F">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ECDE4">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52E74D68">
        <w:tblPrEx>
          <w:tblCellMar>
            <w:top w:w="0" w:type="dxa"/>
            <w:left w:w="108" w:type="dxa"/>
            <w:bottom w:w="0" w:type="dxa"/>
            <w:right w:w="108" w:type="dxa"/>
          </w:tblCellMar>
        </w:tblPrEx>
        <w:trPr>
          <w:trHeight w:val="2840"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04DE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57</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9FF3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集热式磁力搅拌器</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04AFFE4E">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1.电源电压：AC 220V/50Hz。</w:t>
            </w:r>
          </w:p>
          <w:p w14:paraId="6EBBA15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2.显示方式：LED 数码管。</w:t>
            </w:r>
          </w:p>
          <w:p w14:paraId="2F2990D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3.内胆材质：304 不锈钢。</w:t>
            </w:r>
          </w:p>
          <w:p w14:paraId="68A6B39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4.最大搅拌量≥2 L。</w:t>
            </w:r>
          </w:p>
          <w:p w14:paraId="5E45859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5.转速范围：0rpm-2400rpm。</w:t>
            </w:r>
          </w:p>
          <w:p w14:paraId="2C23FAB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6.电机类型：直流永磁电机。</w:t>
            </w:r>
          </w:p>
          <w:p w14:paraId="7B55B25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7.加热方式：电热管加热。</w:t>
            </w:r>
          </w:p>
          <w:p w14:paraId="21A7A37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8.温控范围：RT+5℃-300℃。</w:t>
            </w:r>
          </w:p>
          <w:p w14:paraId="37373A2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9.控温精度：≤±1℃。</w:t>
            </w:r>
          </w:p>
          <w:p w14:paraId="5CBE411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10.锅体能否分开：否。</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49456">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B4D7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0BED0D0F">
        <w:tblPrEx>
          <w:tblCellMar>
            <w:top w:w="0" w:type="dxa"/>
            <w:left w:w="108" w:type="dxa"/>
            <w:bottom w:w="0" w:type="dxa"/>
            <w:right w:w="108" w:type="dxa"/>
          </w:tblCellMar>
        </w:tblPrEx>
        <w:trPr>
          <w:trHeight w:val="2557"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168B3">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58</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A4D4D">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循环水式多用真空泵</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38247E9B">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1.显示方式：压力表×2。</w:t>
            </w:r>
          </w:p>
          <w:p w14:paraId="6B19CF0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2.抽气头数量：≥2。</w:t>
            </w:r>
          </w:p>
          <w:p w14:paraId="5829489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3.最大真空度：≤-0.098 MPa。</w:t>
            </w:r>
          </w:p>
          <w:p w14:paraId="42D3AB0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4.单头抽气：≥10 L/min。</w:t>
            </w:r>
          </w:p>
          <w:p w14:paraId="4D55901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5.流量：≥60 L/min。</w:t>
            </w:r>
          </w:p>
          <w:p w14:paraId="668502E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6.扬程：≥8m。</w:t>
            </w:r>
          </w:p>
          <w:p w14:paraId="17CCC47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7.循环水功能：有。</w:t>
            </w:r>
          </w:p>
          <w:p w14:paraId="2598CDD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8.抽头材质：聚四氟乙烯。</w:t>
            </w:r>
          </w:p>
          <w:p w14:paraId="721D59B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9.水槽容积：≥15 L。</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7AC8D">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38CC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0F7983EE">
        <w:tblPrEx>
          <w:tblCellMar>
            <w:top w:w="0" w:type="dxa"/>
            <w:left w:w="108" w:type="dxa"/>
            <w:bottom w:w="0" w:type="dxa"/>
            <w:right w:w="108" w:type="dxa"/>
          </w:tblCellMar>
        </w:tblPrEx>
        <w:trPr>
          <w:trHeight w:val="2557"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AAC9A">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59</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C539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低温恒温搅拌反应浴</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03003BFA">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1.容积：≥5L。</w:t>
            </w:r>
          </w:p>
          <w:p w14:paraId="3B09910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2.显示方式：LCD 液晶显示。</w:t>
            </w:r>
          </w:p>
          <w:p w14:paraId="790E988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3.温控范围：-20℃- 99℃。</w:t>
            </w:r>
          </w:p>
          <w:p w14:paraId="3FFD9C9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4.温度波动度：≤±1℃。</w:t>
            </w:r>
          </w:p>
          <w:p w14:paraId="7F6C9C3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5.温度显示精度：≤0.1℃。</w:t>
            </w:r>
          </w:p>
          <w:p w14:paraId="04B23B5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6.温度传感器类型：PT100。</w:t>
            </w:r>
          </w:p>
          <w:p w14:paraId="449AF2D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7.额定流量：≥10L/min。</w:t>
            </w:r>
          </w:p>
          <w:p w14:paraId="0762D61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8.扬程：≥7m。</w:t>
            </w:r>
          </w:p>
          <w:p w14:paraId="75BCA5E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9.冷槽规格：≥Φ220mm×180mm。</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52518">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D00E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2B56F943">
        <w:tblPrEx>
          <w:tblCellMar>
            <w:top w:w="0" w:type="dxa"/>
            <w:left w:w="108" w:type="dxa"/>
            <w:bottom w:w="0" w:type="dxa"/>
            <w:right w:w="108" w:type="dxa"/>
          </w:tblCellMar>
        </w:tblPrEx>
        <w:trPr>
          <w:trHeight w:val="713"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6F04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60</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D34E1">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多位平行光化学反应系统</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29E26818">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1.技术指标要求</w:t>
            </w:r>
          </w:p>
          <w:p w14:paraId="6DC017B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1.1系统，分体堆叠式，反应模块，LED光源和控制箱为独立模组，反应模块和光源可堆叠于控制器上。</w:t>
            </w:r>
          </w:p>
          <w:p w14:paraId="7D5AADC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1.2光源波长范围255nm-1050nm，及白光。</w:t>
            </w:r>
          </w:p>
          <w:p w14:paraId="1AC8C31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1.3试管位光照强度（蓝光LED在15W）大于200mW/cm</w:t>
            </w:r>
            <w:r>
              <w:rPr>
                <w:rFonts w:hint="eastAsia" w:ascii="宋体" w:hAnsi="宋体" w:eastAsia="宋体" w:cs="宋体"/>
                <w:color w:val="000000"/>
                <w:kern w:val="0"/>
                <w:sz w:val="20"/>
                <w:szCs w:val="20"/>
                <w:vertAlign w:val="superscript"/>
                <w:lang w:bidi="ar"/>
              </w:rPr>
              <w:t>2</w:t>
            </w:r>
            <w:r>
              <w:rPr>
                <w:rFonts w:hint="eastAsia" w:ascii="宋体" w:hAnsi="宋体" w:eastAsia="宋体" w:cs="宋体"/>
                <w:color w:val="000000"/>
                <w:kern w:val="0"/>
                <w:sz w:val="20"/>
                <w:szCs w:val="20"/>
                <w:lang w:bidi="ar"/>
              </w:rPr>
              <w:t>。</w:t>
            </w:r>
          </w:p>
          <w:p w14:paraId="22F04A0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1.4系统预装8个可见光区LED光源，每个光源独立控制亮度，互不干扰。</w:t>
            </w:r>
          </w:p>
          <w:p w14:paraId="7755BD9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1.5用户可自行更换光源盒。</w:t>
            </w:r>
          </w:p>
          <w:p w14:paraId="2F5861F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1.6光照强度控制：8组独立数字式LED功率控制，0%-100%方式。</w:t>
            </w:r>
          </w:p>
          <w:p w14:paraId="6CB4100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1.7 LED散热方式：水循环空气散热。</w:t>
            </w:r>
          </w:p>
          <w:p w14:paraId="52D7FD0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1.8 LED散热安全控制： 在水流，水温，水位发生异常时停止LED发光。</w:t>
            </w:r>
          </w:p>
          <w:p w14:paraId="4313457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1.9水冷辅助冷热两用8位19mm圆底试管铝合金光反应模块，实现多位平行光反应。</w:t>
            </w:r>
          </w:p>
          <w:p w14:paraId="555CE87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1.10具备加热搅拌功能，8位反应管温度一致，搅拌状态一致。</w:t>
            </w:r>
          </w:p>
          <w:p w14:paraId="684E9E8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1.11支持反应温度范围-30℃-100℃。</w:t>
            </w:r>
          </w:p>
          <w:p w14:paraId="2B23981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1.12反应系统冷却方式：外部循环冷却水通入水冷盘。</w:t>
            </w:r>
          </w:p>
          <w:p w14:paraId="0F8DE93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1.13反应系统控温能力，反应温度范围内，温度波动＜0.2℃，温度过冲＜0.5℃。</w:t>
            </w:r>
          </w:p>
          <w:p w14:paraId="5239CF4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1.14搅拌方式，中心旋转磁体提供同时侧位磁力搅拌。</w:t>
            </w:r>
          </w:p>
          <w:p w14:paraId="0ED1DC3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1.15搅拌电机：长寿命15W直流无刷电机。</w:t>
            </w:r>
          </w:p>
          <w:p w14:paraId="23FAFD4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1.16搅拌控制：数字式实际转速显示，旋钮控制。</w:t>
            </w:r>
          </w:p>
          <w:p w14:paraId="6ED2926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2.配置要求</w:t>
            </w:r>
          </w:p>
          <w:p w14:paraId="1F4894C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2.1 8位高温低温平行光反应系统，1套</w:t>
            </w:r>
          </w:p>
          <w:p w14:paraId="3E8051D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2.2 RLH-18CU全光谱LED控制箱 1台。</w:t>
            </w:r>
          </w:p>
          <w:p w14:paraId="5BD14E4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2.3 RLH-18-AT8 8路控制LED灯座 1个。</w:t>
            </w:r>
          </w:p>
          <w:p w14:paraId="07B495B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2.4 任选8个RLS-10-VT可见区15WLED灯盒。</w:t>
            </w:r>
          </w:p>
          <w:p w14:paraId="35E16A5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2.5 RLR-22-HC 22mm冷热两用宽温度范围八位光反应系统1套。</w:t>
            </w:r>
          </w:p>
          <w:p w14:paraId="23B9A76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2.6 TB-G22-25PK 8支22mm直径磨口玻璃反应试管1套，及其他必要配件备件。</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72648">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45D2A">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2F4F09BB">
        <w:tblPrEx>
          <w:tblCellMar>
            <w:top w:w="0" w:type="dxa"/>
            <w:left w:w="108" w:type="dxa"/>
            <w:bottom w:w="0" w:type="dxa"/>
            <w:right w:w="108" w:type="dxa"/>
          </w:tblCellMar>
        </w:tblPrEx>
        <w:trPr>
          <w:trHeight w:val="1991"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5537C">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61</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09536">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高精度电子分析天平</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6EE9184C">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1.最大秤量：≥120g。</w:t>
            </w:r>
          </w:p>
          <w:p w14:paraId="7F561A1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2.可读性：≥0.01 mg。</w:t>
            </w:r>
          </w:p>
          <w:p w14:paraId="2533AF3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3.重复性偏差：≤±0.03mg。</w:t>
            </w:r>
          </w:p>
          <w:p w14:paraId="4AD56FC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4.线性偏差：≤±0.03mg。</w:t>
            </w:r>
          </w:p>
          <w:p w14:paraId="792DF1D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5.稳定时间：约3秒。</w:t>
            </w:r>
          </w:p>
          <w:p w14:paraId="72A4C3E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6.秤盘尺寸：≥Φ90mm。</w:t>
            </w:r>
          </w:p>
          <w:p w14:paraId="35FCC1F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7.具备全自动内部校准。</w:t>
            </w:r>
          </w:p>
          <w:p w14:paraId="3CAB335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8.具备时钟显示功能。</w:t>
            </w:r>
          </w:p>
          <w:p w14:paraId="0EDCA8E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9.采用高稳定性电磁力传感器。</w:t>
            </w:r>
          </w:p>
          <w:p w14:paraId="4248972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10.采用分体式拉伸设计，能够将显示单元与称量单元分离。</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ADECC">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22414">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5B8B0E3E">
        <w:tblPrEx>
          <w:tblCellMar>
            <w:top w:w="0" w:type="dxa"/>
            <w:left w:w="108" w:type="dxa"/>
            <w:bottom w:w="0" w:type="dxa"/>
            <w:right w:w="108" w:type="dxa"/>
          </w:tblCellMar>
        </w:tblPrEx>
        <w:trPr>
          <w:trHeight w:val="2557"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5051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62</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0A84F">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电热鼓风干燥箱</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0915A297">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1.方式：侧风道强制送风。</w:t>
            </w:r>
          </w:p>
          <w:p w14:paraId="1E0B1DB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2.使用温度范围：RT+10℃-250℃。</w:t>
            </w:r>
          </w:p>
          <w:p w14:paraId="2B7F214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3.温度分辨率：≤0.1℃。</w:t>
            </w:r>
          </w:p>
          <w:p w14:paraId="472BDAE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4.温度波动度：≤±1℃。</w:t>
            </w:r>
          </w:p>
          <w:p w14:paraId="7878FE3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5.温度分布精度：≤±2.5%。</w:t>
            </w:r>
          </w:p>
          <w:p w14:paraId="54BE912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6.内装：304不锈钢板。</w:t>
            </w:r>
          </w:p>
          <w:p w14:paraId="2DD4408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7.加热器：不锈钢加热管。</w:t>
            </w:r>
          </w:p>
          <w:p w14:paraId="42BCDC2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8.控制器：温度控制方式：数码管显示双PID。</w:t>
            </w:r>
          </w:p>
          <w:p w14:paraId="6255AA5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9.内容积：≥136 L。</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4A8F8">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2F203">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0C66C194">
        <w:tblPrEx>
          <w:tblCellMar>
            <w:top w:w="0" w:type="dxa"/>
            <w:left w:w="108" w:type="dxa"/>
            <w:bottom w:w="0" w:type="dxa"/>
            <w:right w:w="108" w:type="dxa"/>
          </w:tblCellMar>
        </w:tblPrEx>
        <w:trPr>
          <w:trHeight w:val="8502"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E405C">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63</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7C91D">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pH计</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521B2026">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1.技术参数</w:t>
            </w:r>
          </w:p>
          <w:p w14:paraId="75AD231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 pH</w:t>
            </w:r>
          </w:p>
          <w:p w14:paraId="0E28795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测量范围： 0-14。</w:t>
            </w:r>
          </w:p>
          <w:p w14:paraId="41C47AE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可读性：≤0.01。</w:t>
            </w:r>
          </w:p>
          <w:p w14:paraId="29AB46B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精度 ≤±0.01。</w:t>
            </w:r>
          </w:p>
          <w:p w14:paraId="2AC46B5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 mV</w:t>
            </w:r>
          </w:p>
          <w:p w14:paraId="4C56BD6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测量范围：-1500.0 mV-1500.0mV。</w:t>
            </w:r>
          </w:p>
          <w:p w14:paraId="36ADC9C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可读性：≤0.1mV。</w:t>
            </w:r>
          </w:p>
          <w:p w14:paraId="4421ABB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精度： ≤±0.4 mV。</w:t>
            </w:r>
          </w:p>
          <w:p w14:paraId="5AC51A3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1.3 温度</w:t>
            </w:r>
          </w:p>
          <w:p w14:paraId="568C8E0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测量范围 -5.0℃-105.0 ℃。</w:t>
            </w:r>
          </w:p>
          <w:p w14:paraId="69322DC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可读性≤0.1℃。</w:t>
            </w:r>
          </w:p>
          <w:p w14:paraId="45145B0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准确度≤±0.2℃。</w:t>
            </w:r>
          </w:p>
          <w:p w14:paraId="38F50CE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1.4 校准点: 最多三种缓冲液</w:t>
            </w:r>
          </w:p>
          <w:p w14:paraId="2BFD19A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自动识别16种缓冲液</w:t>
            </w:r>
          </w:p>
          <w:p w14:paraId="27CE727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2, 4, 7, 10, 12</w:t>
            </w:r>
          </w:p>
          <w:p w14:paraId="360AF62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1, 3, 6, 8, 10, 13</w:t>
            </w:r>
          </w:p>
          <w:p w14:paraId="5D933B9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1.68, 4.01, 6.86, 9.18, 12.46。</w:t>
            </w:r>
          </w:p>
          <w:p w14:paraId="7461295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1.5 电极校准斜率范围：90%~105%。</w:t>
            </w:r>
          </w:p>
          <w:p w14:paraId="4E7C4F5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1.6 全自动显示电极斜率及使用状态。</w:t>
            </w:r>
          </w:p>
          <w:p w14:paraId="11FBA66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1.7 自动温度补偿（ATC）。</w:t>
            </w:r>
          </w:p>
          <w:p w14:paraId="7E2A837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1.8 可选的测量单位 pH、 mV 和 RmV（相对mV值）。</w:t>
            </w:r>
          </w:p>
          <w:p w14:paraId="40018CB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1.9 电极接口：BNC。</w:t>
            </w:r>
          </w:p>
          <w:p w14:paraId="167F723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2.特点</w:t>
            </w:r>
          </w:p>
          <w:p w14:paraId="324E656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2.1 LCD屏显示。</w:t>
            </w:r>
          </w:p>
          <w:p w14:paraId="0493FE34">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2.2 全自动温度补偿功能。</w:t>
            </w:r>
          </w:p>
          <w:p w14:paraId="3C8BBAB3">
            <w:pPr>
              <w:widowControl/>
              <w:jc w:val="left"/>
              <w:textAlignment w:val="top"/>
              <w:rPr>
                <w:rFonts w:hint="eastAsia" w:ascii="宋体" w:hAnsi="宋体" w:eastAsia="宋体" w:cs="宋体"/>
                <w:color w:val="000000"/>
                <w:sz w:val="20"/>
                <w:szCs w:val="20"/>
                <w:highlight w:val="yellow"/>
              </w:rPr>
            </w:pPr>
            <w:r>
              <w:rPr>
                <w:rFonts w:hint="eastAsia" w:ascii="宋体" w:hAnsi="宋体" w:eastAsia="宋体" w:cs="宋体"/>
                <w:color w:val="000000"/>
                <w:sz w:val="20"/>
                <w:szCs w:val="20"/>
              </w:rPr>
              <w:t>2.3三点校准，自动识别三组校准缓冲液，具有一键校准功能。</w:t>
            </w:r>
          </w:p>
          <w:p w14:paraId="57864C8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2.4 稳定符号，表示读数已达稳定。</w:t>
            </w:r>
          </w:p>
          <w:p w14:paraId="5631C4C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2.5 直接以mV 或pH 方式读取测量值。</w:t>
            </w:r>
          </w:p>
          <w:p w14:paraId="4E57174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2.6配送三合一电极。</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4EAD6">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21118">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742FE3D2">
        <w:tblPrEx>
          <w:tblCellMar>
            <w:top w:w="0" w:type="dxa"/>
            <w:left w:w="108" w:type="dxa"/>
            <w:bottom w:w="0" w:type="dxa"/>
            <w:right w:w="108" w:type="dxa"/>
          </w:tblCellMar>
        </w:tblPrEx>
        <w:trPr>
          <w:trHeight w:val="6803"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D07E8">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64</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53183">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高温高压灭菌锅</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51094D73">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1.灭菌室容积：≥60L，设计压力：≥0.3Mpa，设计温度：≥150℃。</w:t>
            </w:r>
          </w:p>
          <w:p w14:paraId="6CED0CF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2.灭菌室材质为不低于30408不锈钢，具有整机防烫功能，使用寿命：10年/20000次灭菌循环。</w:t>
            </w:r>
          </w:p>
          <w:p w14:paraId="5D1757EA">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3.灭菌时间选择范围：灭菌、溶解1min-6000min，保温、干燥1min-9999min。</w:t>
            </w:r>
          </w:p>
          <w:p w14:paraId="6394935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4.灭菌温度选择范围：灭菌105℃-138℃，溶解60℃-100℃，保温45℃-90℃.</w:t>
            </w:r>
          </w:p>
          <w:p w14:paraId="55E5103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5.手轮平移式快开门结构，自涨式密封圈，具有压力安全联锁装置和闭盖自检功能。</w:t>
            </w:r>
          </w:p>
          <w:p w14:paraId="4FAC4D9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6.具有A器械+干燥、B器械、C液体+保温、D液体（培养基）、E废弃物、F琼脂至少六种固定程序和不少于60种自定义程序，共计不少于66种程序。</w:t>
            </w:r>
          </w:p>
          <w:p w14:paraId="2028C55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7.具备沸点温度修正功能，仪器能够在不同海拔地区正常使用。</w:t>
            </w:r>
          </w:p>
          <w:p w14:paraId="5727524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8.全自动正压脉冲排汽，可设置不同排汽模式。</w:t>
            </w:r>
          </w:p>
          <w:p w14:paraId="1A8C461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9.多重安全保护：具有低水位保护、过热保护、过电流、过电压、超温、超压等多重安全保护功能。</w:t>
            </w:r>
          </w:p>
          <w:p w14:paraId="1268863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10.具备记忆存储功能和RS485接口，可查看总灭菌次数和灭菌数据导出。</w:t>
            </w:r>
          </w:p>
          <w:p w14:paraId="4EF2B55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11.故障自检：系统实时监测工作过程，出现异常，迅速自动断电并报警提示，同时显示故障代码。</w:t>
            </w:r>
          </w:p>
          <w:p w14:paraId="50249D8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12.自动进水功能：电磁泵和电磁阀控制自动进水，进水口装有高效滤网，保证灭菌效果。</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B4D35">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DC0F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45C78D24">
        <w:tblPrEx>
          <w:tblCellMar>
            <w:top w:w="0" w:type="dxa"/>
            <w:left w:w="108" w:type="dxa"/>
            <w:bottom w:w="0" w:type="dxa"/>
            <w:right w:w="108" w:type="dxa"/>
          </w:tblCellMar>
        </w:tblPrEx>
        <w:trPr>
          <w:trHeight w:val="2557"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3DC4F">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65</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7A7A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超声波清洗机</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5D9698BD">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1.内胆材料：SUS304不锈钢冲压槽</w:t>
            </w:r>
          </w:p>
          <w:p w14:paraId="756E6EE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2.震头数量：≥10枚</w:t>
            </w:r>
          </w:p>
          <w:p w14:paraId="28A1F93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3.容    量：≥30 L</w:t>
            </w:r>
          </w:p>
          <w:p w14:paraId="68E1EC79">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4.超声频率：≥40kHz</w:t>
            </w:r>
          </w:p>
          <w:p w14:paraId="3E39BAB8">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5.超声功率：≥600W(0-100%可调)</w:t>
            </w:r>
          </w:p>
          <w:p w14:paraId="47BCF9B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6.加热功率：≥1000W</w:t>
            </w:r>
          </w:p>
          <w:p w14:paraId="37C599C8">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7.时间控制：数显1min-99min</w:t>
            </w:r>
          </w:p>
          <w:p w14:paraId="32A96A7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8.温度控制：常温-80℃</w:t>
            </w:r>
          </w:p>
          <w:p w14:paraId="28673FA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9.内槽尺寸：≥长500mm×宽300mm×深200mm</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11E38">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10130">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17455AEC">
        <w:tblPrEx>
          <w:tblCellMar>
            <w:top w:w="0" w:type="dxa"/>
            <w:left w:w="108" w:type="dxa"/>
            <w:bottom w:w="0" w:type="dxa"/>
            <w:right w:w="108" w:type="dxa"/>
          </w:tblCellMar>
        </w:tblPrEx>
        <w:trPr>
          <w:trHeight w:val="11333"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E7DEA">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66</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139B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基因扩增仪</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07FF4AA4">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1.样品基座：≥0.2mL，96孔。</w:t>
            </w:r>
          </w:p>
          <w:p w14:paraId="67DF3B7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2.最大模块变温速率≥3.5℃/Sec，变温速率可调节。</w:t>
            </w:r>
          </w:p>
          <w:p w14:paraId="79F9EFF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3.最大样本变温速率≥2.7℃/Sec</w:t>
            </w:r>
          </w:p>
          <w:p w14:paraId="0476DFF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4.温度范围： 0℃-100.0℃。</w:t>
            </w:r>
          </w:p>
          <w:p w14:paraId="5F7B0AD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5.温度均一性：＜0.5℃（达到95℃后30秒）。</w:t>
            </w:r>
          </w:p>
          <w:p w14:paraId="0E5B49C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6.温度准确性：≤±0.25℃（35℃-99.9℃）。</w:t>
            </w:r>
          </w:p>
          <w:p w14:paraId="5F29F3D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7.PCR体积范围：10uL-100uL。</w:t>
            </w:r>
          </w:p>
          <w:p w14:paraId="677C60C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 达到3个独立控温区域，温差（区间≤10℃）</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w:t>
            </w:r>
          </w:p>
          <w:p w14:paraId="299AE00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 5英寸彩色TFT触摸式显示屏，直观的导航按钮设置操作简单方便。</w:t>
            </w:r>
          </w:p>
          <w:p w14:paraId="35907B6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10.程序存储：机载存储2000MB（存储超过1000个程序文件），也具有USB插口，用于转移程序，存储不限数量的程序。</w:t>
            </w:r>
          </w:p>
          <w:p w14:paraId="02DAED9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11.有线或无线网络连接，可选配Wi-Fi连接装置，客户可下载Instrument Connect手机app到智能设备，在手机端或电脑端随时随地远程查看仪器状态或控制仪器，也可以通过Thermo Fisher Cloud平台在电脑端编辑程序、预约仪器、设置Email提醒或通过Cloud共享程序文件；可连接打印机。</w:t>
            </w:r>
          </w:p>
          <w:p w14:paraId="23DAA00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12.联机操控：无需购买软件，允许多台机器在同一局域网内相互连接，并设置由其中一台来操控。</w:t>
            </w:r>
          </w:p>
          <w:p w14:paraId="1539763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13.内置热学模拟模式，可以模拟Applied Biosystems 2720，Bio-Rad T100，Bio-Rad MyCycler, MJ Research PTC-200, Takara Dice, BIOER XP等市面上主流PCR仪的热学性能，方便实验的平稳过渡。</w:t>
            </w:r>
          </w:p>
          <w:p w14:paraId="58793F1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14.内置多种PCR程序模板，可直接调用，包括基础PCR、热启动PCR、测序PCR、优化PCR、 RT-PCR、高保真PCR、高特异PCR和Long PCR等。</w:t>
            </w:r>
          </w:p>
          <w:p w14:paraId="3E768C7B">
            <w:pPr>
              <w:widowControl/>
              <w:jc w:val="left"/>
              <w:textAlignment w:val="top"/>
              <w:rPr>
                <w:rFonts w:hint="eastAsia" w:ascii="宋体" w:hAnsi="宋体" w:eastAsia="宋体" w:cs="宋体"/>
                <w:color w:val="000000"/>
                <w:sz w:val="20"/>
                <w:szCs w:val="20"/>
                <w14:textFill>
                  <w14:solidFill>
                    <w14:srgbClr w14:val="000000">
                      <w14:lumMod w14:val="95000"/>
                      <w14:lumOff w14:val="5000"/>
                    </w14:srgbClr>
                  </w14:solidFill>
                </w14:textFill>
              </w:rPr>
            </w:pPr>
            <w:r>
              <w:rPr>
                <w:rFonts w:hint="eastAsia" w:ascii="宋体" w:hAnsi="宋体" w:eastAsia="宋体" w:cs="宋体"/>
                <w:color w:val="000000"/>
                <w:kern w:val="0"/>
                <w:sz w:val="20"/>
                <w:szCs w:val="20"/>
                <w:lang w:bidi="ar"/>
              </w:rPr>
              <w:t>15.</w:t>
            </w:r>
            <w:r>
              <w:rPr>
                <w:rFonts w:hint="eastAsia" w:ascii="宋体" w:hAnsi="宋体" w:eastAsia="宋体" w:cs="宋体"/>
                <w:color w:val="000000"/>
                <w:kern w:val="0"/>
                <w:sz w:val="20"/>
                <w:szCs w:val="20"/>
                <w:lang w:bidi="ar"/>
                <w14:textFill>
                  <w14:solidFill>
                    <w14:srgbClr w14:val="000000">
                      <w14:lumMod w14:val="95000"/>
                      <w14:lumOff w14:val="5000"/>
                    </w14:srgbClr>
                  </w14:solidFill>
                </w14:textFill>
              </w:rPr>
              <w:t>内置AutoDelta选项，适合Touchdown PCR。</w:t>
            </w:r>
          </w:p>
          <w:p w14:paraId="64F821D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16.其他功能：多重权限账户管理模式、程序覆盖保护功能、实验中编辑或暂停程序、一键设置孵育、自动断电重启、自动休眠、热盖可以关闭或调整温度、仪器自检功能、查看运行日志并导出或打印等。</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67F0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34406">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31441875">
        <w:tblPrEx>
          <w:tblCellMar>
            <w:top w:w="0" w:type="dxa"/>
            <w:left w:w="108" w:type="dxa"/>
            <w:bottom w:w="0" w:type="dxa"/>
            <w:right w:w="108" w:type="dxa"/>
          </w:tblCellMar>
        </w:tblPrEx>
        <w:trPr>
          <w:trHeight w:val="9917"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DC0D0">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67</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AC46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荧光定量PCR仪</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186E73C6">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1.加热冷却方式为半导体；温度范围：4℃–100℃。</w:t>
            </w:r>
          </w:p>
          <w:p w14:paraId="605C352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2.支持加热模块：≥0.2mL×96孔。</w:t>
            </w:r>
          </w:p>
          <w:p w14:paraId="4C707BF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▲3.激发光源具备高亮度白光半导体光源</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w:t>
            </w:r>
          </w:p>
          <w:p w14:paraId="1250F8F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★4.检测系统具备一次成像，实时动态检测，动态显示，达到96孔均同步成像检测仪器支持的所有荧光染料，无逐个扫描时间差</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w:t>
            </w:r>
          </w:p>
          <w:p w14:paraId="476CF39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5.支持ROX荧光校正去除移液误差和耗材透光度引起的物理误差。</w:t>
            </w:r>
          </w:p>
          <w:p w14:paraId="39C93D4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6.单管单次反应可同时检测4种不同靶标，4色发射光通道和4色激发光通道；安装时已校准染料：通道一：FAM, SYBR Green I；通道二：VIC；通道三：JUN, ROX；通道四：CY5。</w:t>
            </w:r>
          </w:p>
          <w:p w14:paraId="78415FD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7.升降温速率≥3.5℃/秒。</w:t>
            </w:r>
          </w:p>
          <w:p w14:paraId="7F0726D4">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8.40min内即可完成40个循环，并能提供现场验证实验支持。</w:t>
            </w:r>
          </w:p>
          <w:p w14:paraId="50697DF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▲9.具备检测精密度区分1.5倍拷贝数差异，置信度≥99.7%,达到支持高分辨率熔解曲线，分辨率最小至 0.015°C</w:t>
            </w:r>
            <w:r>
              <w:rPr>
                <w:rFonts w:hint="eastAsia" w:ascii="宋体" w:hAnsi="宋体" w:eastAsia="宋体" w:cs="宋体"/>
                <w:b/>
                <w:bCs/>
                <w:color w:val="000000"/>
                <w:kern w:val="0"/>
                <w:szCs w:val="21"/>
                <w:lang w:bidi="ar"/>
              </w:rPr>
              <w:t>（提供产品彩页宣传手册复印件或产品官网描述截图或产品白皮书等相关证明材料并加盖投标人公章，相关证明材料须在权威公开的网站可查询，并提供查询截图）。</w:t>
            </w:r>
          </w:p>
          <w:p w14:paraId="7A1141D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10.内置触摸屏，可提供一键式的实验方案，同时支持触屏设置个性化实验程序并启动实验；支持实时察看实验进程以及最终实验结果查看和分析。</w:t>
            </w:r>
          </w:p>
          <w:p w14:paraId="0316E2C5">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11.支持仪器连接的电脑储存数据外，仪器也支持自身储存数据；支持USB储存和转移数据。                                             12.软件自带研发的多组分算法，可去除多色荧光间的相互干扰，保证多重分析结果的准确性，无需颜色补偿。13.仪器的耗材和试剂盒均为开放式；用户可选择多款耗材和试剂，也可选择市场上其他厂家的耗材和试剂。</w:t>
            </w:r>
          </w:p>
          <w:p w14:paraId="20064C27">
            <w:pPr>
              <w:widowControl/>
              <w:jc w:val="left"/>
              <w:textAlignment w:val="top"/>
              <w:rPr>
                <w:rFonts w:ascii="Times New Roman" w:hAnsi="Times New Roman" w:eastAsia="宋体" w:cs="Times New Roman"/>
                <w:lang w:bidi="ar"/>
              </w:rPr>
            </w:pPr>
            <w:r>
              <w:rPr>
                <w:rFonts w:hint="eastAsia" w:ascii="宋体" w:hAnsi="宋体" w:eastAsia="宋体" w:cs="宋体"/>
                <w:color w:val="000000"/>
                <w:kern w:val="0"/>
                <w:sz w:val="20"/>
                <w:szCs w:val="20"/>
                <w:lang w:bidi="ar"/>
              </w:rPr>
              <w:t>14.配置现场数据处理终端，能够安装仪器运行所需的操作软件，并能完成数据处理和输出。</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42A9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1E893">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0AD0F282">
        <w:tblPrEx>
          <w:tblCellMar>
            <w:top w:w="0" w:type="dxa"/>
            <w:left w:w="108" w:type="dxa"/>
            <w:bottom w:w="0" w:type="dxa"/>
            <w:right w:w="108" w:type="dxa"/>
          </w:tblCellMar>
        </w:tblPrEx>
        <w:trPr>
          <w:trHeight w:val="382"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B1E2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68</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10D0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超声破碎仪</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100E4C65">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1.可实现连续不间断超声、且换能器工作温升低，同时可自动追踪频率及自动谐振点和功率控制，无需频繁手动调节设置，占空比可实现0.1%-99.9%调节。</w:t>
            </w:r>
          </w:p>
          <w:p w14:paraId="0F9579A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2.高变幅比换能器，最大功率工作状态下，6mm变幅杆振幅不低于80um。</w:t>
            </w:r>
          </w:p>
          <w:p w14:paraId="7469205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3.采用≥7英寸TFT触摸屏，可实现时间、温度、功率及连续模式和间隙模式显示，实时显示工作参数，运行状态倒计时显示，整体UI设计简约，操作便捷直观。</w:t>
            </w:r>
          </w:p>
          <w:p w14:paraId="000B4CB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4.可选择连续超声模式以及间隙性超声模式两种模式，并带有测试功能，也可空载运行，满足不同强度不同需求的实验场景。</w:t>
            </w:r>
          </w:p>
          <w:p w14:paraId="4C8A62C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5.连续超声模式下，超声时间不少999min；间隙模式下，具备开/关秒冲定时器，超声时间可设置0.1s-99.9s，间隙时间可设置0.1s-99.9s，总时间（间隙+超声）可设置时间见不少于999min。</w:t>
            </w:r>
          </w:p>
          <w:p w14:paraId="73FCD19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6.具备智能微处理控制系统，可存储≥20组的工作预设程序，满足不同的实验条件与场景，快速实验。</w:t>
            </w:r>
          </w:p>
          <w:p w14:paraId="4500D4F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7.超声变频器采用PCT晶体压电变频器，密封处理隔离水汽和腐蚀性气体。</w:t>
            </w:r>
          </w:p>
          <w:p w14:paraId="4BF7A6A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8.具有自动振幅和脉冲补偿功能，可维持实验过程超声频率稳定，确保探头振幅不因承载变化而变化。</w:t>
            </w:r>
          </w:p>
          <w:p w14:paraId="76C05B9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9.超声探头采用钛合金材质，独有的材料锻造工艺，能量转换效率高，探头可靠耐磨。</w:t>
            </w:r>
          </w:p>
          <w:p w14:paraId="4C864EF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10.具备阻抗异常报警、功率保护、负载异常、频率保护、定时报警、温度保护和温度自恢复工作功能。</w:t>
            </w:r>
          </w:p>
          <w:p w14:paraId="578FA8C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11.超声频率：20kHz-25kHz自动追频，自适应。</w:t>
            </w:r>
          </w:p>
          <w:p w14:paraId="3D4BA93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12.超声标称功率：650W（1%-100%），功率可调，调节幅度≥1%。</w:t>
            </w:r>
          </w:p>
          <w:p w14:paraId="1AA7C70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13.最大处理量≥500mL，最小处理量≤0.1mL，覆盖0.1mL-600mL处理体积，随机标配6号变幅杆，同时可选配2mm、3mm、10mm直径变幅杆，满足不同处理对象和处理量需求。</w:t>
            </w:r>
          </w:p>
          <w:p w14:paraId="318A15E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14.采用NTC热敏电阻温度传感器，控制样品温度（0℃-99.9℃），防止样品过热。</w:t>
            </w:r>
          </w:p>
          <w:p w14:paraId="1978178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15.隔音箱配备照明功能，可选配定时紫外杀菌功能以及自动升降平台，隔音箱可升级成低温循环功能，可配套夹套杯使用。</w:t>
            </w:r>
          </w:p>
          <w:p w14:paraId="2F2AE47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16.可应用于不同容量样本（依据不同体积选择对应型号及探头）的处理。能够破碎各类动植物组织、细胞、细菌，同时可用来乳化、分离、分散、提取、清洗及加速化学反应等。</w:t>
            </w:r>
          </w:p>
          <w:p w14:paraId="1B8A937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17.整机配置：超声破碎机电源1台，隔音箱1台；换能器（铝合金或钛合金可选)及钛合金探头1套；专用工具包1套；温度探头1个。</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778CC">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1F1AB">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2A3F1441">
        <w:tblPrEx>
          <w:tblCellMar>
            <w:top w:w="0" w:type="dxa"/>
            <w:left w:w="108" w:type="dxa"/>
            <w:bottom w:w="0" w:type="dxa"/>
            <w:right w:w="108" w:type="dxa"/>
          </w:tblCellMar>
        </w:tblPrEx>
        <w:trPr>
          <w:trHeight w:val="1991"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42059">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69</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9B5E0">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化学发光凝胶成像系统</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1A13070D">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1.配置</w:t>
            </w:r>
          </w:p>
          <w:p w14:paraId="67024BCC">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1.1主机暗箱1台、电源线1根、白光板1块。</w:t>
            </w:r>
          </w:p>
          <w:p w14:paraId="5E22B54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2.参数</w:t>
            </w:r>
          </w:p>
          <w:p w14:paraId="7491AC1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2.1功能：核酸凝胶成像，蛋白凝胶考染、银染成像，荧光成像。</w:t>
            </w:r>
          </w:p>
          <w:p w14:paraId="1384419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2.2密闭暗箱，防止外杂光干扰，成像结果更真实，防止机箱内荧光泄漏，保护操作者。</w:t>
            </w:r>
          </w:p>
          <w:p w14:paraId="53D4A66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2.3一体机，可调节角度式≥10.3英寸触控屏，适应各种操作高度。</w:t>
            </w:r>
          </w:p>
          <w:p w14:paraId="20009CE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2.4自动化样品台，放置样品更轻松，自动化平台进出平稳，凝胶不易滑动。</w:t>
            </w:r>
          </w:p>
          <w:p w14:paraId="528F26F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2.5自动对焦、自动曝光、自动调节光圈滤光片，减少人为误差。</w:t>
            </w:r>
          </w:p>
          <w:p w14:paraId="58D60F7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2.6定焦镜头F=0.95。</w:t>
            </w:r>
          </w:p>
          <w:p w14:paraId="271D3F1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2.7 USB接口不少于4个。</w:t>
            </w:r>
          </w:p>
          <w:p w14:paraId="280A7242">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2.8具有平场校准技术使成像均一。</w:t>
            </w:r>
          </w:p>
          <w:p w14:paraId="33CE0F1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2.9科研级摄像头：采用 IMX183芯片，芯片面积大小：≥1英寸。</w:t>
            </w:r>
          </w:p>
          <w:p w14:paraId="0325B94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2.10成像分辨率可通过像素合并选择，原始像素5544×3694：≥2000万，像素合并2×2，2772×1847：≥500万。</w:t>
            </w:r>
          </w:p>
          <w:p w14:paraId="59419D0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2.11像素深度（灰度值）：≥65536灰阶（16bit）。</w:t>
            </w:r>
          </w:p>
          <w:p w14:paraId="4532E7C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2.12成像面积：≥15</w:t>
            </w:r>
            <w:r>
              <w:rPr>
                <w:rFonts w:ascii="Times New Roman" w:hAnsi="Times New Roman" w:eastAsia="宋体" w:cs="Times New Roman"/>
              </w:rPr>
              <w:t xml:space="preserve"> </w:t>
            </w:r>
            <w:r>
              <w:rPr>
                <w:rFonts w:ascii="宋体" w:hAnsi="宋体" w:eastAsia="宋体" w:cs="宋体"/>
                <w:color w:val="000000"/>
                <w:kern w:val="0"/>
                <w:sz w:val="20"/>
                <w:szCs w:val="20"/>
                <w:lang w:bidi="ar"/>
              </w:rPr>
              <w:t>cm</w:t>
            </w:r>
            <w:r>
              <w:rPr>
                <w:rFonts w:hint="eastAsia" w:ascii="宋体" w:hAnsi="宋体" w:eastAsia="宋体" w:cs="宋体"/>
                <w:color w:val="000000"/>
                <w:kern w:val="0"/>
                <w:sz w:val="20"/>
                <w:szCs w:val="20"/>
                <w:lang w:bidi="ar"/>
              </w:rPr>
              <w:t>×10cm。</w:t>
            </w:r>
          </w:p>
          <w:p w14:paraId="4CF25E9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2.13光源：侧照白光、透射紫外或蓝光激发。</w:t>
            </w:r>
          </w:p>
          <w:p w14:paraId="092286AB">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2.14发射滤光片：535</w:t>
            </w:r>
            <w:r>
              <w:rPr>
                <w:rFonts w:ascii="宋体" w:hAnsi="宋体" w:eastAsia="宋体" w:cs="宋体"/>
                <w:color w:val="000000"/>
                <w:kern w:val="0"/>
                <w:sz w:val="20"/>
                <w:szCs w:val="20"/>
                <w:lang w:bidi="ar"/>
              </w:rPr>
              <w:t>nm</w:t>
            </w:r>
            <w:r>
              <w:rPr>
                <w:rFonts w:hint="eastAsia" w:ascii="宋体" w:hAnsi="宋体" w:eastAsia="宋体" w:cs="宋体"/>
                <w:color w:val="000000"/>
                <w:kern w:val="0"/>
                <w:sz w:val="20"/>
                <w:szCs w:val="20"/>
                <w:lang w:bidi="ar"/>
              </w:rPr>
              <w:t xml:space="preserve"> -645nm。</w:t>
            </w:r>
          </w:p>
          <w:p w14:paraId="0C95051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2.15数据输出格式：.gal、.tif。</w:t>
            </w:r>
          </w:p>
          <w:p w14:paraId="4BF2362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2.16分析软件兼容自有格式以及常用的可用于分析的tif.格式，兼用性强，分析软件开放、升级；可用于其他成像仪导出的结果分析。</w:t>
            </w:r>
          </w:p>
          <w:p w14:paraId="261533D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2.17分析软件功能：具备自动条带检测，自动分子量测算、对比度调节、过曝显示、图片大小裁剪、注释添加、图片格式转换等功能。</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3851F">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6B5F3">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61A6EDD0">
        <w:tblPrEx>
          <w:tblCellMar>
            <w:top w:w="0" w:type="dxa"/>
            <w:left w:w="108" w:type="dxa"/>
            <w:bottom w:w="0" w:type="dxa"/>
            <w:right w:w="108" w:type="dxa"/>
          </w:tblCellMar>
        </w:tblPrEx>
        <w:trPr>
          <w:trHeight w:val="575"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8C772">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70</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84557">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制冰机</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1F590E2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1.产冰量：20kg/天–40 kg/天。</w:t>
            </w:r>
          </w:p>
          <w:p w14:paraId="36807EE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2.功率：200W–300W。</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0449E">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55B29">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r w14:paraId="493FB5D2">
        <w:tblPrEx>
          <w:tblCellMar>
            <w:top w:w="0" w:type="dxa"/>
            <w:left w:w="108" w:type="dxa"/>
            <w:bottom w:w="0" w:type="dxa"/>
            <w:right w:w="108" w:type="dxa"/>
          </w:tblCellMar>
        </w:tblPrEx>
        <w:trPr>
          <w:trHeight w:val="1364" w:hRule="atLeast"/>
        </w:trPr>
        <w:tc>
          <w:tcPr>
            <w:tcW w:w="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E2E0F">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71</w:t>
            </w:r>
          </w:p>
        </w:tc>
        <w:tc>
          <w:tcPr>
            <w:tcW w:w="10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9EC10">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电泳跑胶系统</w:t>
            </w:r>
          </w:p>
        </w:tc>
        <w:tc>
          <w:tcPr>
            <w:tcW w:w="5254" w:type="dxa"/>
            <w:tcBorders>
              <w:top w:val="single" w:color="000000" w:sz="4" w:space="0"/>
              <w:left w:val="single" w:color="000000" w:sz="4" w:space="0"/>
              <w:bottom w:val="single" w:color="000000" w:sz="4" w:space="0"/>
              <w:right w:val="single" w:color="000000" w:sz="4" w:space="0"/>
            </w:tcBorders>
            <w:shd w:val="clear" w:color="auto" w:fill="FFFFFF"/>
          </w:tcPr>
          <w:p w14:paraId="6621E9E4">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1.电泳仪电源参数</w:t>
            </w:r>
          </w:p>
          <w:p w14:paraId="3E16C5F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1.1四个并联输出接口，300 V，600 mA，120 W。</w:t>
            </w:r>
          </w:p>
          <w:p w14:paraId="0AB665E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1.2≥480×320像素，LED 3.5"触屏控制。</w:t>
            </w:r>
          </w:p>
          <w:p w14:paraId="12705DCF">
            <w:pPr>
              <w:widowControl/>
              <w:jc w:val="left"/>
              <w:textAlignment w:val="top"/>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1.3可编程的输出范围：</w:t>
            </w:r>
          </w:p>
          <w:p w14:paraId="7BCB909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 V-300 V，完全可调，增量为1 V。</w:t>
            </w:r>
          </w:p>
          <w:p w14:paraId="4B76A1C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10 mA - 600 mA，完全可调，增量为1 mA。</w:t>
            </w:r>
          </w:p>
          <w:p w14:paraId="2129670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 W - 120 W，完全可调，增量为1 W。</w:t>
            </w:r>
          </w:p>
          <w:p w14:paraId="4C62243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1.4可设定恒定电压、恒定电流或恒定功率。</w:t>
            </w:r>
          </w:p>
          <w:p w14:paraId="6C139C41">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1.5可通过触摸屏单独设定时间，设定范围：1min-99h59min，完全可调。</w:t>
            </w:r>
          </w:p>
          <w:p w14:paraId="475E60C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1.6具有暂停和恢复功能。</w:t>
            </w:r>
          </w:p>
          <w:p w14:paraId="0AB2786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1.7可编辑和储存≥5个设定程序，每个程序包含 ≥3个步骤。</w:t>
            </w:r>
          </w:p>
          <w:p w14:paraId="7BC1A1F0">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1.8具有实时时钟功能，具备顺数/倒数时间切换功能。</w:t>
            </w:r>
          </w:p>
          <w:p w14:paraId="4E6E7FE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1.9安全特性:无负荷检测，负荷突变检测，接地泄漏检测，超负荷/短路保护，过电压检测，输入电路保护，停电后自动打开电源。                                                                              2.水平电泳槽</w:t>
            </w:r>
          </w:p>
          <w:p w14:paraId="002E9E2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2.1水平电泳槽尺寸≥长178mm×宽255mm×深68mm。</w:t>
            </w:r>
          </w:p>
          <w:p w14:paraId="1776566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2.2配有7cm长3孔、8孔、15孔梳子，15cm长15孔、20孔、28孔梳子。</w:t>
            </w:r>
          </w:p>
          <w:p w14:paraId="31DE4AA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2.3配有≥7cm×7cm,≥ 7cm×10cm制胶盘各两个，≥15cm×7cm，≥15cm×10cm制胶盘各一个。</w:t>
            </w:r>
          </w:p>
          <w:p w14:paraId="37E37DB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2.4电极拆卸方便，简化了清洁工作。</w:t>
            </w:r>
          </w:p>
          <w:p w14:paraId="2D5B6BC4">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2.5彩色编码的带标记的电极和带标记的底座确保盖子可以正确安置在底座上。</w:t>
            </w:r>
          </w:p>
          <w:p w14:paraId="27420935">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2.6安全按钮式开盖设计，方便电泳槽盖的开启。</w:t>
            </w:r>
          </w:p>
          <w:p w14:paraId="2B680947">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2.7透明塑料结构，可以方便地查看样本。</w:t>
            </w:r>
          </w:p>
          <w:p w14:paraId="5138A62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2.8制胶盘架带两个方向水平仪，四个角带有可调旋钮，确保制胶盘保持水平。</w:t>
            </w:r>
          </w:p>
          <w:p w14:paraId="054B43AC">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2.9制胶盘架正反两面可用，可同时制 2 块 ≥ 70mm×70mm 和 2 块 ≥70mm×100mm 胶或同时制 1 块 ≥150mm×70mm 和 1 块 ≥150mm×100mm。</w:t>
            </w:r>
          </w:p>
          <w:p w14:paraId="336FC99E">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2.10制胶盘可直接放在紫外透射仪上观察，无需把胶从制胶盘脱下来进行观察，操作方便。</w:t>
            </w:r>
          </w:p>
          <w:p w14:paraId="62968BB6">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3.垂直电泳</w:t>
            </w:r>
          </w:p>
          <w:p w14:paraId="447AB2BD">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3.1凝胶数：1-4。</w:t>
            </w:r>
          </w:p>
          <w:p w14:paraId="3227CC89">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3.2手灌胶：使用玻璃板灌制。</w:t>
            </w:r>
          </w:p>
          <w:p w14:paraId="3BDE6F5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3.3凝胶尺寸（宽×长）：预制：≥86 mm×68 mm；手灌：≥83 mm×73 mm。</w:t>
            </w:r>
          </w:p>
          <w:p w14:paraId="5F6373EA">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3.4玻璃板尺寸：短玻板≥101 mm×73 mm；长玻板≥ 101 mm×82 mm。</w:t>
            </w:r>
          </w:p>
          <w:p w14:paraId="0562C12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3.5 2块凝胶的缓冲液总体积：≥700 mL。</w:t>
            </w:r>
          </w:p>
          <w:p w14:paraId="3898091F">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3.6 4块凝胶的缓冲液总体积：≥1000 mL。</w:t>
            </w:r>
          </w:p>
          <w:p w14:paraId="3BA2C6F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3.7 SDS-PAGE经典运行时间：35 min-45min（在200V恒定电压下）。</w:t>
            </w:r>
          </w:p>
          <w:p w14:paraId="6EB72633">
            <w:pPr>
              <w:widowControl/>
              <w:jc w:val="left"/>
              <w:textAlignment w:val="top"/>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3.8尺寸：≥宽125 mm×长165 mm×高150 mm。</w:t>
            </w:r>
          </w:p>
        </w:tc>
        <w:tc>
          <w:tcPr>
            <w:tcW w:w="6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16F23">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147E4">
            <w:pPr>
              <w:widowControl/>
              <w:jc w:val="center"/>
              <w:textAlignment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套</w:t>
            </w:r>
          </w:p>
        </w:tc>
      </w:tr>
    </w:tbl>
    <w:p w14:paraId="2C2F0869">
      <w:pPr>
        <w:spacing w:line="360" w:lineRule="auto"/>
        <w:ind w:firstLine="422" w:firstLineChars="200"/>
        <w:rPr>
          <w:rFonts w:hint="eastAsia" w:ascii="宋体" w:hAnsi="宋体" w:eastAsia="宋体" w:cs="宋体"/>
          <w:b/>
          <w:bCs/>
          <w:szCs w:val="21"/>
        </w:rPr>
      </w:pPr>
      <w:r>
        <w:rPr>
          <w:rFonts w:ascii="宋体" w:hAnsi="宋体" w:eastAsia="宋体" w:cs="宋体"/>
          <w:b/>
          <w:bCs/>
          <w:szCs w:val="21"/>
        </w:rPr>
        <w:t>重要说明：</w:t>
      </w:r>
    </w:p>
    <w:p w14:paraId="23626688">
      <w:pPr>
        <w:spacing w:line="360" w:lineRule="auto"/>
        <w:ind w:firstLine="420" w:firstLineChars="200"/>
        <w:rPr>
          <w:rFonts w:hint="eastAsia" w:ascii="宋体" w:hAnsi="宋体" w:eastAsia="宋体" w:cs="宋体"/>
        </w:rPr>
      </w:pPr>
      <w:r>
        <w:rPr>
          <w:rFonts w:hint="eastAsia" w:ascii="宋体" w:hAnsi="宋体" w:eastAsia="宋体" w:cs="宋体"/>
        </w:rPr>
        <w:t>1、带“★”号条款为招标文件实质性条款，投标人不得有一项出现偏离，否则，视为无效投标。</w:t>
      </w:r>
    </w:p>
    <w:p w14:paraId="110446B3">
      <w:pPr>
        <w:spacing w:line="360" w:lineRule="auto"/>
        <w:ind w:firstLine="420" w:firstLineChars="200"/>
        <w:rPr>
          <w:rFonts w:hint="eastAsia" w:ascii="宋体" w:hAnsi="宋体" w:eastAsia="宋体" w:cs="宋体"/>
        </w:rPr>
      </w:pPr>
      <w:r>
        <w:rPr>
          <w:rFonts w:hint="eastAsia" w:ascii="宋体" w:hAnsi="宋体" w:eastAsia="宋体" w:cs="宋体"/>
        </w:rPr>
        <w:t>2、如果在材质说明与技术参数中标明了品牌或产地，则仅供参考，并非指定，投标人可以选用替代的方案，但这种替代整体上要优于或相当于材质说明与技术参数的相关要求。</w:t>
      </w:r>
    </w:p>
    <w:p w14:paraId="6C190BF4">
      <w:pPr>
        <w:spacing w:line="360" w:lineRule="auto"/>
        <w:ind w:firstLine="420" w:firstLineChars="200"/>
        <w:rPr>
          <w:rFonts w:hint="eastAsia" w:ascii="宋体" w:hAnsi="宋体" w:eastAsia="宋体" w:cs="宋体"/>
        </w:rPr>
      </w:pPr>
      <w:r>
        <w:rPr>
          <w:rFonts w:hint="eastAsia" w:ascii="宋体" w:hAnsi="宋体" w:eastAsia="宋体" w:cs="宋体"/>
        </w:rPr>
        <w:t>3、技术要求中范围或区间指标（如：以“不小于/不大于/≥/≤/＞/＜/-……”等符号加前缀或连接），投标文件须有对应的固定指标响应，否则视为不满足或负偏离。</w:t>
      </w:r>
    </w:p>
    <w:p w14:paraId="17EC820F">
      <w:pPr>
        <w:spacing w:line="360" w:lineRule="auto"/>
        <w:ind w:firstLine="420" w:firstLineChars="200"/>
        <w:rPr>
          <w:rFonts w:hint="eastAsia" w:ascii="宋体" w:hAnsi="宋体" w:eastAsia="宋体" w:cs="宋体"/>
        </w:rPr>
      </w:pPr>
      <w:r>
        <w:rPr>
          <w:rFonts w:hint="eastAsia" w:ascii="宋体" w:hAnsi="宋体" w:eastAsia="宋体" w:cs="宋体"/>
        </w:rPr>
        <w:t xml:space="preserve">4、技术标准规范：以技术参数中的技术标准规范为准，如国家有最新版标准，以最新版标准为准。 </w:t>
      </w:r>
    </w:p>
    <w:p w14:paraId="67463B02">
      <w:pPr>
        <w:rPr>
          <w:rFonts w:hint="eastAsia" w:ascii="黑体" w:hAnsi="黑体" w:eastAsia="黑体" w:cs="Times New Roman"/>
          <w:sz w:val="28"/>
          <w:szCs w:val="28"/>
        </w:rPr>
      </w:pPr>
      <w:bookmarkStart w:id="117" w:name="_Toc3145"/>
      <w:r>
        <w:rPr>
          <w:rFonts w:hint="eastAsia" w:ascii="黑体" w:hAnsi="黑体" w:eastAsia="黑体" w:cs="Times New Roman"/>
          <w:sz w:val="28"/>
          <w:szCs w:val="28"/>
        </w:rPr>
        <w:br w:type="page"/>
      </w:r>
    </w:p>
    <w:p w14:paraId="0C52B976">
      <w:pPr>
        <w:keepNext/>
        <w:keepLines/>
        <w:adjustRightInd w:val="0"/>
        <w:snapToGrid w:val="0"/>
        <w:spacing w:before="161" w:beforeLines="50" w:line="500" w:lineRule="exact"/>
        <w:jc w:val="center"/>
        <w:outlineLvl w:val="1"/>
        <w:rPr>
          <w:rFonts w:hint="eastAsia" w:ascii="黑体" w:hAnsi="黑体" w:eastAsia="黑体" w:cs="Times New Roman"/>
          <w:b/>
          <w:bCs/>
          <w:sz w:val="24"/>
          <w:szCs w:val="32"/>
        </w:rPr>
      </w:pPr>
      <w:r>
        <w:rPr>
          <w:rFonts w:hint="eastAsia" w:ascii="黑体" w:hAnsi="黑体" w:eastAsia="黑体" w:cs="Times New Roman"/>
          <w:b/>
          <w:bCs/>
          <w:sz w:val="28"/>
          <w:szCs w:val="28"/>
        </w:rPr>
        <w:t>第三节 商务要求</w:t>
      </w:r>
      <w:bookmarkEnd w:id="117"/>
    </w:p>
    <w:p w14:paraId="5CA18F66">
      <w:pPr>
        <w:autoSpaceDE w:val="0"/>
        <w:autoSpaceDN w:val="0"/>
        <w:adjustRightInd w:val="0"/>
        <w:spacing w:after="200" w:line="276" w:lineRule="auto"/>
        <w:ind w:firstLine="422" w:firstLineChars="200"/>
        <w:rPr>
          <w:rFonts w:hint="eastAsia" w:ascii="宋体" w:hAnsi="宋体" w:eastAsia="宋体" w:cs="宋体"/>
          <w:b/>
          <w:bCs/>
          <w:szCs w:val="21"/>
        </w:rPr>
      </w:pPr>
      <w:bookmarkStart w:id="118" w:name="_Toc17677"/>
      <w:bookmarkStart w:id="119" w:name="_Toc20479"/>
      <w:bookmarkStart w:id="120" w:name="_Toc31162"/>
      <w:r>
        <w:rPr>
          <w:rFonts w:hint="eastAsia" w:ascii="宋体" w:hAnsi="宋体" w:eastAsia="宋体" w:cs="宋体"/>
          <w:b/>
          <w:bCs/>
          <w:szCs w:val="21"/>
        </w:rPr>
        <w:t>一、附件及零配件（包括专用工具）、备品备件的要求：</w:t>
      </w:r>
    </w:p>
    <w:p w14:paraId="3D072A5A">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1、依据采购文件的要求，本次采购项目的材料、设备、须达到国家及行业质量管理规范的标准。</w:t>
      </w:r>
    </w:p>
    <w:p w14:paraId="56F0808E">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2、供货范围包括采购内容的全部货物，包含但不仅限于配管、生产制造及组装、运输、安装调试、验收、售后服务、培训、技术支持等费用包干。</w:t>
      </w:r>
    </w:p>
    <w:p w14:paraId="6380BAD3">
      <w:pPr>
        <w:autoSpaceDE w:val="0"/>
        <w:autoSpaceDN w:val="0"/>
        <w:adjustRightInd w:val="0"/>
        <w:spacing w:after="200" w:line="276" w:lineRule="auto"/>
        <w:ind w:firstLine="422" w:firstLineChars="200"/>
        <w:rPr>
          <w:rFonts w:hint="eastAsia" w:ascii="宋体" w:hAnsi="宋体" w:eastAsia="宋体" w:cs="宋体"/>
          <w:b/>
          <w:bCs/>
          <w:szCs w:val="21"/>
        </w:rPr>
      </w:pPr>
      <w:r>
        <w:rPr>
          <w:rFonts w:hint="eastAsia" w:ascii="宋体" w:hAnsi="宋体" w:eastAsia="宋体" w:cs="宋体"/>
          <w:b/>
          <w:bCs/>
          <w:szCs w:val="21"/>
        </w:rPr>
        <w:t>二、验收标准和方法：</w:t>
      </w:r>
    </w:p>
    <w:p w14:paraId="5C8C186D">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1、供应商应派出人员根据合同规定的检验程序和检验项目进行验收，并填报和共同签署验收单。</w:t>
      </w:r>
    </w:p>
    <w:p w14:paraId="0591FD65">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2、验收标准：按照中华人民共和国有关标准及招标文件规定的技术要求进行验收。产品质量应达到设计要求，安装调试各项功能、指标和技术参数应符合验收标准要求。</w:t>
      </w:r>
    </w:p>
    <w:p w14:paraId="4CB2BF77">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3、验收方法：产品安装、调试结束后，由采购人按照国家及行业标准按招标文件、投标文件及合同要求进行验收。若产品验收不能满足和达不到招标文件提出的和投标文件承诺的技术参数及技术要求，采购人不予认可。给采购人造成的损失，由供应商承担一切责任，采购人有权提出取消采购合同并退货。</w:t>
      </w:r>
    </w:p>
    <w:p w14:paraId="006825C8">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4、供应商应保证货物到达用户所在地完好无损，如有缺漏、损坏，由供应商负责调换、补齐或赔偿。</w:t>
      </w:r>
    </w:p>
    <w:p w14:paraId="367E0C33">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5、发运货物时随机技术资料要求：</w:t>
      </w:r>
    </w:p>
    <w:p w14:paraId="1CA6D041">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（1）操作手册、使用说明、维修保养手册；</w:t>
      </w:r>
    </w:p>
    <w:p w14:paraId="469019AA">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（2）供应商应备有充足的备品、备件，可及时向买方提供技术服务和备件服务；</w:t>
      </w:r>
    </w:p>
    <w:p w14:paraId="2135769C">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（3）设备出厂检验报告及合格证；</w:t>
      </w:r>
    </w:p>
    <w:p w14:paraId="1B140F13">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（4）符合国家规定的验收标准、厂方标准及验收手册。</w:t>
      </w:r>
    </w:p>
    <w:p w14:paraId="6B92FB8E">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6、产品在安装调试并试运行符合要求后，才作为最终验收。</w:t>
      </w:r>
    </w:p>
    <w:p w14:paraId="00C96483">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7、供应商提供的货物未达到招标文件规定要求，且对采购人造成损失的，由供应商承担一切责任，并赔偿所造成的损失。</w:t>
      </w:r>
    </w:p>
    <w:p w14:paraId="492194AF">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rPr>
        <w:t>★</w:t>
      </w:r>
      <w:r>
        <w:rPr>
          <w:rFonts w:hint="eastAsia" w:ascii="宋体" w:hAnsi="宋体" w:eastAsia="宋体" w:cs="宋体"/>
          <w:szCs w:val="21"/>
        </w:rPr>
        <w:t>8、</w:t>
      </w:r>
      <w:r>
        <w:rPr>
          <w:rFonts w:hint="eastAsia" w:ascii="Times New Roman" w:hAnsi="Times New Roman" w:eastAsia="宋体" w:cs="Times New Roman"/>
          <w:szCs w:val="21"/>
        </w:rPr>
        <w:t>供应商须承诺中标后签订合同签提供全部中标产品制造商原厂售后服务承诺函，</w:t>
      </w:r>
      <w:r>
        <w:rPr>
          <w:rFonts w:hint="eastAsia" w:ascii="Times New Roman" w:hAnsi="Times New Roman" w:eastAsia="宋体" w:cs="Times New Roman"/>
          <w:szCs w:val="21"/>
          <w:lang w:val="en-US" w:eastAsia="zh-CN"/>
        </w:rPr>
        <w:t>提供</w:t>
      </w:r>
      <w:r>
        <w:rPr>
          <w:rFonts w:hint="eastAsia" w:ascii="Times New Roman" w:hAnsi="Times New Roman" w:eastAsia="宋体" w:cs="Times New Roman"/>
          <w:szCs w:val="21"/>
        </w:rPr>
        <w:t>承诺函</w:t>
      </w:r>
      <w:r>
        <w:rPr>
          <w:rFonts w:hint="eastAsia" w:ascii="Times New Roman" w:hAnsi="Times New Roman" w:eastAsia="宋体" w:cs="Times New Roman"/>
          <w:szCs w:val="21"/>
          <w:lang w:val="en-US" w:eastAsia="zh-CN"/>
        </w:rPr>
        <w:t>并加盖投标人公章，格式</w:t>
      </w:r>
      <w:r>
        <w:rPr>
          <w:rFonts w:hint="eastAsia" w:ascii="Times New Roman" w:hAnsi="Times New Roman" w:eastAsia="宋体" w:cs="Times New Roman"/>
          <w:szCs w:val="21"/>
        </w:rPr>
        <w:t>自拟</w:t>
      </w:r>
      <w:r>
        <w:rPr>
          <w:rFonts w:hint="eastAsia" w:ascii="宋体" w:hAnsi="宋体" w:eastAsia="宋体" w:cs="宋体"/>
          <w:szCs w:val="21"/>
        </w:rPr>
        <w:t>。</w:t>
      </w:r>
    </w:p>
    <w:p w14:paraId="2851E607">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9、产品包装材料归采购人所有。</w:t>
      </w:r>
    </w:p>
    <w:p w14:paraId="68F2616C">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10、验收要求：</w:t>
      </w:r>
    </w:p>
    <w:p w14:paraId="359065FE">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（1）验收过程中产生纠纷的，由质量技术监督部门认定的检测机构检测,如为供应商原因造成的，由供应商承担检测费用；</w:t>
      </w:r>
    </w:p>
    <w:p w14:paraId="7FA5A17A">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2）项目验收不合格，由供应商返工直至合格，有关返工、再行验收，以及给采购人造成的损失等费用由供应商承担。连续两次项目验收不合格的，采购人可终止合同，另行按规定选择其他供应商采购，由此带来的一切损失由供应商承担；</w:t>
      </w:r>
    </w:p>
    <w:p w14:paraId="1030CE38">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（3）整个项目的总体验收的费用均由供应商承担。</w:t>
      </w:r>
    </w:p>
    <w:p w14:paraId="3B63E86D">
      <w:pPr>
        <w:autoSpaceDE w:val="0"/>
        <w:autoSpaceDN w:val="0"/>
        <w:adjustRightInd w:val="0"/>
        <w:spacing w:after="200" w:line="276" w:lineRule="auto"/>
        <w:ind w:firstLine="422" w:firstLineChars="200"/>
        <w:rPr>
          <w:rFonts w:hint="eastAsia" w:ascii="宋体" w:hAnsi="宋体" w:eastAsia="宋体" w:cs="宋体"/>
          <w:b/>
          <w:bCs/>
          <w:szCs w:val="21"/>
        </w:rPr>
      </w:pPr>
      <w:r>
        <w:rPr>
          <w:rFonts w:hint="eastAsia" w:ascii="宋体" w:hAnsi="宋体" w:eastAsia="宋体" w:cs="宋体"/>
          <w:b/>
          <w:bCs/>
          <w:szCs w:val="21"/>
        </w:rPr>
        <w:t>三、安装调试要求：</w:t>
      </w:r>
    </w:p>
    <w:p w14:paraId="02D86C47">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1、供应商须提供现场安装调试，在项目实施过程中须加强项目实施的组织管理，所有人员应遵守采购人有关规章制度。</w:t>
      </w:r>
    </w:p>
    <w:p w14:paraId="43BE88A1">
      <w:pPr>
        <w:autoSpaceDE w:val="0"/>
        <w:autoSpaceDN w:val="0"/>
        <w:adjustRightInd w:val="0"/>
        <w:spacing w:after="200" w:line="276" w:lineRule="auto"/>
        <w:ind w:firstLine="422" w:firstLineChars="200"/>
        <w:rPr>
          <w:rFonts w:hint="eastAsia" w:ascii="宋体" w:hAnsi="宋体" w:eastAsia="宋体" w:cs="宋体"/>
          <w:b/>
          <w:bCs/>
          <w:szCs w:val="21"/>
        </w:rPr>
      </w:pPr>
      <w:r>
        <w:rPr>
          <w:rFonts w:hint="eastAsia" w:ascii="宋体" w:hAnsi="宋体" w:eastAsia="宋体" w:cs="宋体"/>
          <w:b/>
          <w:bCs/>
          <w:szCs w:val="21"/>
        </w:rPr>
        <w:t>四、质量保证要求：</w:t>
      </w:r>
    </w:p>
    <w:p w14:paraId="7F8C621A">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1、供应商提供的产品应是原装正品，符合国家质量检测标准，具有出厂检验证书、出厂合格证或国家鉴定合格证。</w:t>
      </w:r>
    </w:p>
    <w:p w14:paraId="479C7994">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2、 质保期：本项目质保期要求为验收合格之日起</w:t>
      </w:r>
      <w:r>
        <w:rPr>
          <w:rFonts w:hint="eastAsia" w:ascii="宋体" w:hAnsi="宋体" w:eastAsia="宋体" w:cs="宋体"/>
          <w:szCs w:val="21"/>
          <w:u w:val="single"/>
        </w:rPr>
        <w:t xml:space="preserve">  3 </w:t>
      </w:r>
      <w:r>
        <w:rPr>
          <w:rFonts w:hint="eastAsia" w:ascii="宋体" w:hAnsi="宋体" w:eastAsia="宋体" w:cs="宋体"/>
          <w:szCs w:val="21"/>
        </w:rPr>
        <w:t>年（其中软件类产品终身升级），质保期内的运行维护、维修费用均由供应商负责。</w:t>
      </w:r>
    </w:p>
    <w:p w14:paraId="58F0FF9A">
      <w:pPr>
        <w:autoSpaceDE w:val="0"/>
        <w:autoSpaceDN w:val="0"/>
        <w:adjustRightInd w:val="0"/>
        <w:spacing w:after="200" w:line="276" w:lineRule="auto"/>
        <w:ind w:firstLine="422" w:firstLineChars="200"/>
        <w:rPr>
          <w:rFonts w:hint="eastAsia" w:ascii="宋体" w:hAnsi="宋体" w:eastAsia="宋体" w:cs="宋体"/>
          <w:b/>
          <w:bCs/>
          <w:szCs w:val="21"/>
        </w:rPr>
      </w:pPr>
      <w:r>
        <w:rPr>
          <w:rFonts w:hint="eastAsia" w:ascii="宋体" w:hAnsi="宋体" w:eastAsia="宋体" w:cs="宋体"/>
          <w:b/>
          <w:bCs/>
          <w:szCs w:val="21"/>
        </w:rPr>
        <w:t>五、售后服务要求：</w:t>
      </w:r>
    </w:p>
    <w:p w14:paraId="308A92CF">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1、系统维护</w:t>
      </w:r>
    </w:p>
    <w:p w14:paraId="4F2EDD33">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（1）定期维护计划。</w:t>
      </w:r>
    </w:p>
    <w:p w14:paraId="53E8CABD">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（2）对采购人不定期维护要求的响应措施。</w:t>
      </w:r>
    </w:p>
    <w:p w14:paraId="24B68D01">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（3）对用户修改设计要求的响应措施。</w:t>
      </w:r>
    </w:p>
    <w:p w14:paraId="0A4C18C3">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2、技术支持</w:t>
      </w:r>
    </w:p>
    <w:p w14:paraId="245EA990">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（1）提供 7×24 小时的技术咨询服务。</w:t>
      </w:r>
    </w:p>
    <w:p w14:paraId="5E9BC00B">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（2）提供符合国标标准的系统升级。</w:t>
      </w:r>
    </w:p>
    <w:p w14:paraId="182351D2">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3、故障响应</w:t>
      </w:r>
    </w:p>
    <w:p w14:paraId="1E06A761">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（1）提供 7×24 小时的故障服务受理，2小时内到达现场，8小时解决问题。</w:t>
      </w:r>
    </w:p>
    <w:p w14:paraId="004FEFA9">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（2）备件服务：提供系统所需更换的任何备件，质保期外提供系统所需更换的任何备件不高于市场价。</w:t>
      </w:r>
    </w:p>
    <w:p w14:paraId="15A9DB72">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4、所有产品均要求安装调试到位。要求供应商有完善的服务体系，有稳定、独立的售后服务队伍。</w:t>
      </w:r>
    </w:p>
    <w:p w14:paraId="30546EF8">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5、除采购方要求的售后服务条款外，供应商可根据自己的实际情况补充更加优惠的保修及售后服务承诺。</w:t>
      </w:r>
    </w:p>
    <w:p w14:paraId="3231FE09">
      <w:pPr>
        <w:autoSpaceDE w:val="0"/>
        <w:autoSpaceDN w:val="0"/>
        <w:adjustRightInd w:val="0"/>
        <w:spacing w:after="200" w:line="276" w:lineRule="auto"/>
        <w:ind w:firstLine="422" w:firstLineChars="200"/>
        <w:rPr>
          <w:rFonts w:hint="eastAsia" w:ascii="宋体" w:hAnsi="宋体" w:eastAsia="宋体" w:cs="宋体"/>
          <w:b/>
          <w:bCs/>
          <w:szCs w:val="21"/>
        </w:rPr>
      </w:pPr>
      <w:r>
        <w:rPr>
          <w:rFonts w:hint="eastAsia" w:ascii="宋体" w:hAnsi="宋体" w:eastAsia="宋体" w:cs="宋体"/>
          <w:b/>
          <w:bCs/>
          <w:szCs w:val="21"/>
        </w:rPr>
        <w:t>五、履行合同的时间：</w:t>
      </w:r>
    </w:p>
    <w:p w14:paraId="5E781A02">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1、交货时间：合同签订后</w:t>
      </w:r>
      <w:r>
        <w:rPr>
          <w:rFonts w:hint="eastAsia" w:ascii="宋体" w:hAnsi="宋体" w:eastAsia="宋体" w:cs="宋体"/>
          <w:szCs w:val="21"/>
          <w:u w:val="single"/>
        </w:rPr>
        <w:t xml:space="preserve">  60  </w:t>
      </w:r>
      <w:r>
        <w:rPr>
          <w:rFonts w:hint="eastAsia" w:ascii="宋体" w:hAnsi="宋体" w:eastAsia="宋体" w:cs="宋体"/>
          <w:szCs w:val="21"/>
        </w:rPr>
        <w:t xml:space="preserve">个日历天。 </w:t>
      </w:r>
    </w:p>
    <w:p w14:paraId="408A96D8">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2、交货地点：采购人指定地点。</w:t>
      </w:r>
    </w:p>
    <w:p w14:paraId="1FC9A753">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3、交货方式：供应商负责产品到使用地点的全部运输并</w:t>
      </w:r>
      <w:r>
        <w:rPr>
          <w:rFonts w:hint="eastAsia" w:ascii="宋体" w:hAnsi="宋体" w:eastAsia="宋体" w:cs="Times New Roman"/>
          <w:bCs/>
          <w:szCs w:val="21"/>
        </w:rPr>
        <w:t>安装调试合格、正常使用</w:t>
      </w:r>
      <w:r>
        <w:rPr>
          <w:rFonts w:hint="eastAsia" w:ascii="宋体" w:hAnsi="宋体" w:eastAsia="宋体" w:cs="宋体"/>
          <w:szCs w:val="21"/>
        </w:rPr>
        <w:t>。</w:t>
      </w:r>
    </w:p>
    <w:p w14:paraId="1624E03D">
      <w:pPr>
        <w:autoSpaceDE w:val="0"/>
        <w:autoSpaceDN w:val="0"/>
        <w:adjustRightInd w:val="0"/>
        <w:spacing w:after="200" w:line="276" w:lineRule="auto"/>
        <w:ind w:firstLine="422" w:firstLineChars="200"/>
        <w:rPr>
          <w:rFonts w:hint="eastAsia" w:ascii="宋体" w:hAnsi="宋体" w:eastAsia="宋体" w:cs="宋体"/>
          <w:b/>
          <w:bCs/>
          <w:szCs w:val="21"/>
        </w:rPr>
      </w:pPr>
      <w:r>
        <w:rPr>
          <w:rFonts w:hint="eastAsia" w:ascii="宋体" w:hAnsi="宋体" w:eastAsia="宋体" w:cs="宋体"/>
          <w:b/>
          <w:bCs/>
          <w:szCs w:val="21"/>
        </w:rPr>
        <w:t>六、</w:t>
      </w:r>
      <w:bookmarkEnd w:id="118"/>
      <w:bookmarkEnd w:id="119"/>
      <w:bookmarkEnd w:id="120"/>
      <w:r>
        <w:rPr>
          <w:rFonts w:hint="eastAsia" w:ascii="宋体" w:hAnsi="宋体" w:eastAsia="宋体" w:cs="宋体"/>
          <w:b/>
          <w:bCs/>
          <w:szCs w:val="21"/>
        </w:rPr>
        <w:t>结算方式</w:t>
      </w:r>
    </w:p>
    <w:p w14:paraId="1FBB49C5">
      <w:pPr>
        <w:widowControl w:val="0"/>
        <w:snapToGrid w:val="0"/>
        <w:spacing w:line="360" w:lineRule="auto"/>
        <w:ind w:left="15" w:leftChars="7" w:firstLine="403" w:firstLineChars="192"/>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1、结算方法</w:t>
      </w:r>
    </w:p>
    <w:p w14:paraId="6F09DA96">
      <w:pPr>
        <w:widowControl w:val="0"/>
        <w:snapToGrid w:val="0"/>
        <w:spacing w:line="360" w:lineRule="auto"/>
        <w:ind w:left="15" w:leftChars="7" w:firstLine="403" w:firstLineChars="192"/>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1.1 付款人：湖南化工职业技术学院</w:t>
      </w:r>
    </w:p>
    <w:p w14:paraId="6813AC65">
      <w:pPr>
        <w:autoSpaceDE w:val="0"/>
        <w:autoSpaceDN w:val="0"/>
        <w:adjustRightInd w:val="0"/>
        <w:spacing w:after="200" w:line="276" w:lineRule="auto"/>
        <w:ind w:firstLine="420" w:firstLineChars="200"/>
        <w:rPr>
          <w:rFonts w:hint="eastAsia" w:ascii="宋体" w:hAnsi="宋体" w:eastAsia="宋体" w:cs="宋体"/>
          <w:szCs w:val="21"/>
        </w:rPr>
      </w:pPr>
      <w:r>
        <w:rPr>
          <w:rFonts w:hint="eastAsia" w:ascii="宋体" w:hAnsi="宋体" w:eastAsia="宋体" w:cs="宋体"/>
          <w:szCs w:val="21"/>
        </w:rPr>
        <w:t>1.2 付款方式：所有货物到达现场经项目部门初步收货核实无误后15个工作日内付合同总金额的30%，安装完成调试合格通过验收后15个工作日内支付合同总额的65%，其余5%设备保证期满后无质量问题及纠纷20个工作日内无息付清。</w:t>
      </w:r>
    </w:p>
    <w:p w14:paraId="55C97AED">
      <w:pPr>
        <w:widowControl w:val="0"/>
        <w:snapToGrid w:val="0"/>
        <w:spacing w:line="360" w:lineRule="auto"/>
        <w:ind w:left="15" w:leftChars="7" w:firstLine="403" w:firstLineChars="192"/>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本项目采用费用包干方式建设，供应商应根据项目要求和现场情况，详细列明项目所需的设备及材料购置，以及产品运输保险保管、通过验收、培训、保修维护等所有人工、管理、财务等所有费用均包含在投标报价内，如一旦中标，在项目实施中出现任何遗漏，均由供应商提供，采购人不再支付任何费用。</w:t>
      </w:r>
    </w:p>
    <w:p w14:paraId="2D7DC6F1">
      <w:pPr>
        <w:ind w:firstLine="420" w:firstLineChars="200"/>
        <w:rPr>
          <w:rFonts w:hint="eastAsia" w:ascii="宋体" w:hAnsi="宋体" w:eastAsia="宋体" w:cs="宋体"/>
          <w:szCs w:val="21"/>
        </w:rPr>
      </w:pPr>
      <w:r>
        <w:rPr>
          <w:rFonts w:hint="eastAsia" w:ascii="宋体" w:hAnsi="宋体" w:eastAsia="宋体" w:cs="宋体"/>
          <w:szCs w:val="21"/>
        </w:rPr>
        <w:t>3、投标人在投标前，如需踏勘现场，有关费用自理，踏勘期间发生的意外自负。</w:t>
      </w:r>
    </w:p>
    <w:p w14:paraId="4D45D428">
      <w:pPr>
        <w:spacing w:line="360" w:lineRule="auto"/>
        <w:ind w:firstLine="422" w:firstLineChars="200"/>
        <w:rPr>
          <w:rFonts w:hint="eastAsia" w:ascii="宋体" w:hAnsi="宋体" w:eastAsia="宋体" w:cs="宋体"/>
          <w:b/>
          <w:bCs/>
        </w:rPr>
      </w:pPr>
    </w:p>
    <w:p w14:paraId="0AE8DCC0">
      <w:pPr>
        <w:spacing w:line="360" w:lineRule="auto"/>
        <w:ind w:firstLine="422" w:firstLineChars="200"/>
        <w:rPr>
          <w:rFonts w:hint="eastAsia" w:ascii="宋体" w:hAnsi="宋体" w:eastAsia="宋体" w:cs="宋体"/>
          <w:b/>
          <w:bCs/>
        </w:rPr>
      </w:pPr>
    </w:p>
    <w:p w14:paraId="2269598A">
      <w:pPr>
        <w:spacing w:line="360" w:lineRule="auto"/>
        <w:ind w:firstLine="420" w:firstLineChars="200"/>
        <w:rPr>
          <w:rFonts w:hint="eastAsia" w:ascii="宋体" w:hAnsi="宋体" w:eastAsia="宋体" w:cs="宋体"/>
          <w:bCs/>
        </w:rPr>
      </w:pPr>
    </w:p>
    <w:bookmarkEnd w:id="114"/>
    <w:p w14:paraId="3E9CC7EB">
      <w:pPr>
        <w:spacing w:line="360" w:lineRule="auto"/>
        <w:ind w:firstLine="420" w:firstLineChars="200"/>
        <w:rPr>
          <w:rFonts w:hint="eastAsia" w:ascii="宋体" w:hAnsi="宋体" w:eastAsia="宋体" w:cs="宋体"/>
        </w:rPr>
      </w:pPr>
    </w:p>
    <w:p w14:paraId="1FAE5279">
      <w:pPr>
        <w:rPr>
          <w:rFonts w:hint="eastAsia" w:ascii="宋体" w:hAnsi="宋体" w:eastAsia="宋体" w:cs="宋体"/>
        </w:rPr>
      </w:pPr>
      <w:r>
        <w:rPr>
          <w:rFonts w:hint="eastAsia" w:ascii="宋体" w:hAnsi="宋体" w:eastAsia="宋体" w:cs="宋体"/>
        </w:rPr>
        <w:br w:type="page"/>
      </w:r>
    </w:p>
    <w:bookmarkEnd w:id="111"/>
    <w:bookmarkEnd w:id="112"/>
    <w:bookmarkEnd w:id="115"/>
    <w:p w14:paraId="7D9EA619">
      <w:pPr>
        <w:widowControl w:val="0"/>
        <w:adjustRightInd w:val="0"/>
        <w:snapToGrid w:val="0"/>
        <w:spacing w:line="360" w:lineRule="auto"/>
        <w:jc w:val="center"/>
        <w:outlineLvl w:val="0"/>
        <w:rPr>
          <w:rFonts w:hint="eastAsia" w:ascii="宋体" w:hAnsi="宋体" w:eastAsia="宋体" w:cs="宋体"/>
          <w:b/>
          <w:kern w:val="2"/>
          <w:sz w:val="32"/>
          <w:szCs w:val="32"/>
          <w:lang w:val="en-US" w:eastAsia="zh-CN" w:bidi="ar-SA"/>
        </w:rPr>
      </w:pPr>
      <w:bookmarkStart w:id="121" w:name="_Toc1585"/>
      <w:r>
        <w:rPr>
          <w:rFonts w:hint="eastAsia" w:ascii="宋体" w:hAnsi="宋体" w:eastAsia="宋体" w:cs="宋体"/>
          <w:b/>
          <w:kern w:val="2"/>
          <w:sz w:val="32"/>
          <w:szCs w:val="32"/>
          <w:lang w:val="en-US" w:eastAsia="zh-CN" w:bidi="ar-SA"/>
        </w:rPr>
        <w:t>第六章 政府采购合同</w:t>
      </w:r>
      <w:bookmarkEnd w:id="121"/>
    </w:p>
    <w:p w14:paraId="4A570B7C">
      <w:pPr>
        <w:keepNext/>
        <w:keepLines/>
        <w:widowControl w:val="0"/>
        <w:adjustRightInd w:val="0"/>
        <w:snapToGrid w:val="0"/>
        <w:spacing w:line="360" w:lineRule="auto"/>
        <w:jc w:val="center"/>
        <w:outlineLvl w:val="1"/>
        <w:rPr>
          <w:rFonts w:hint="eastAsia" w:ascii="黑体" w:hAnsi="华文中宋" w:eastAsia="黑体" w:cs="Times New Roman"/>
          <w:b/>
          <w:bCs/>
          <w:kern w:val="2"/>
          <w:sz w:val="28"/>
          <w:szCs w:val="28"/>
          <w:lang w:val="en-US" w:eastAsia="zh-CN" w:bidi="ar-SA"/>
        </w:rPr>
      </w:pPr>
      <w:bookmarkStart w:id="122" w:name="_Toc20871"/>
      <w:bookmarkStart w:id="123" w:name="_Toc17570"/>
      <w:r>
        <w:rPr>
          <w:rFonts w:hint="eastAsia" w:ascii="黑体" w:hAnsi="华文中宋" w:eastAsia="黑体" w:cs="Times New Roman"/>
          <w:b/>
          <w:bCs/>
          <w:kern w:val="2"/>
          <w:sz w:val="28"/>
          <w:szCs w:val="28"/>
          <w:lang w:val="en-US" w:eastAsia="zh-CN" w:bidi="ar-SA"/>
        </w:rPr>
        <w:t>第一节 政府采购合同协议书</w:t>
      </w:r>
      <w:bookmarkEnd w:id="122"/>
    </w:p>
    <w:p w14:paraId="08607E60">
      <w:pPr>
        <w:adjustRightInd w:val="0"/>
        <w:snapToGrid w:val="0"/>
        <w:spacing w:before="161" w:beforeLines="50" w:line="360" w:lineRule="auto"/>
        <w:ind w:firstLine="5460" w:firstLineChars="2600"/>
        <w:rPr>
          <w:rFonts w:hint="eastAsia" w:ascii="宋体" w:hAnsi="宋体" w:eastAsia="宋体" w:cs="Times New Roman"/>
          <w:b/>
          <w:szCs w:val="21"/>
        </w:rPr>
      </w:pPr>
      <w:r>
        <w:rPr>
          <w:rFonts w:hint="eastAsia" w:ascii="宋体" w:hAnsi="宋体" w:eastAsia="宋体" w:cs="Times New Roman"/>
          <w:szCs w:val="21"/>
        </w:rPr>
        <w:t>采购合同编号：</w:t>
      </w:r>
      <w:r>
        <w:rPr>
          <w:rFonts w:ascii="宋体" w:hAnsi="宋体" w:eastAsia="宋体" w:cs="Times New Roman"/>
          <w:szCs w:val="21"/>
          <w:u w:val="single"/>
        </w:rPr>
        <w:t xml:space="preserve">                 </w:t>
      </w:r>
    </w:p>
    <w:p w14:paraId="78DCD2AF">
      <w:pPr>
        <w:adjustRightInd w:val="0"/>
        <w:snapToGrid w:val="0"/>
        <w:spacing w:before="161" w:beforeLines="50" w:line="360" w:lineRule="auto"/>
        <w:jc w:val="center"/>
        <w:rPr>
          <w:rFonts w:hint="eastAsia" w:ascii="宋体" w:hAnsi="宋体" w:eastAsia="宋体" w:cs="Times New Roman"/>
          <w:b/>
          <w:szCs w:val="21"/>
        </w:rPr>
      </w:pPr>
    </w:p>
    <w:p w14:paraId="4A8B6B0D">
      <w:pPr>
        <w:adjustRightInd w:val="0"/>
        <w:snapToGrid w:val="0"/>
        <w:spacing w:before="161" w:beforeLines="50" w:line="360" w:lineRule="auto"/>
        <w:rPr>
          <w:rFonts w:hint="eastAsia" w:ascii="宋体" w:hAnsi="宋体" w:eastAsia="宋体" w:cs="Times New Roman"/>
          <w:szCs w:val="21"/>
        </w:rPr>
      </w:pPr>
      <w:r>
        <w:rPr>
          <w:rFonts w:hint="eastAsia" w:ascii="宋体" w:hAnsi="宋体" w:eastAsia="宋体" w:cs="Times New Roman"/>
          <w:szCs w:val="21"/>
        </w:rPr>
        <w:t>采购人（全称）：</w:t>
      </w:r>
      <w:r>
        <w:rPr>
          <w:rFonts w:hint="eastAsia" w:ascii="宋体" w:hAnsi="宋体" w:eastAsia="宋体" w:cs="Times New Roman"/>
          <w:szCs w:val="21"/>
          <w:u w:val="single"/>
        </w:rPr>
        <w:t xml:space="preserve">                             </w:t>
      </w:r>
      <w:r>
        <w:rPr>
          <w:rFonts w:hint="eastAsia" w:ascii="宋体" w:hAnsi="宋体" w:eastAsia="宋体" w:cs="Times New Roman"/>
          <w:szCs w:val="21"/>
        </w:rPr>
        <w:t>（甲方）</w:t>
      </w:r>
    </w:p>
    <w:p w14:paraId="6196A5B7">
      <w:pPr>
        <w:adjustRightInd w:val="0"/>
        <w:snapToGrid w:val="0"/>
        <w:spacing w:before="161" w:beforeLines="50" w:line="360" w:lineRule="auto"/>
        <w:rPr>
          <w:rFonts w:hint="eastAsia" w:ascii="宋体" w:hAnsi="宋体" w:eastAsia="宋体" w:cs="Times New Roman"/>
          <w:szCs w:val="21"/>
        </w:rPr>
      </w:pPr>
      <w:r>
        <w:rPr>
          <w:rFonts w:hint="eastAsia" w:ascii="宋体" w:hAnsi="宋体" w:eastAsia="宋体" w:cs="Times New Roman"/>
          <w:szCs w:val="21"/>
        </w:rPr>
        <w:t>供应商（全称）：</w:t>
      </w:r>
      <w:r>
        <w:rPr>
          <w:rFonts w:hint="eastAsia" w:ascii="宋体" w:hAnsi="宋体" w:eastAsia="宋体" w:cs="Times New Roman"/>
          <w:szCs w:val="21"/>
          <w:u w:val="single"/>
        </w:rPr>
        <w:t xml:space="preserve">                             </w:t>
      </w:r>
      <w:r>
        <w:rPr>
          <w:rFonts w:hint="eastAsia" w:ascii="宋体" w:hAnsi="宋体" w:eastAsia="宋体" w:cs="Times New Roman"/>
          <w:szCs w:val="21"/>
        </w:rPr>
        <w:t>（乙方）</w:t>
      </w:r>
    </w:p>
    <w:p w14:paraId="6B604F12">
      <w:pPr>
        <w:widowControl w:val="0"/>
        <w:adjustRightInd w:val="0"/>
        <w:snapToGrid w:val="0"/>
        <w:spacing w:before="161" w:beforeLines="50" w:after="0" w:line="360" w:lineRule="auto"/>
        <w:ind w:left="420" w:leftChars="200"/>
        <w:jc w:val="both"/>
        <w:rPr>
          <w:rFonts w:hint="eastAsia" w:ascii="宋体" w:hAnsi="宋体" w:eastAsia="宋体" w:cs="Times New Roman"/>
          <w:kern w:val="2"/>
          <w:sz w:val="21"/>
          <w:szCs w:val="21"/>
          <w:lang w:val="en-US" w:eastAsia="zh-CN" w:bidi="ar-SA"/>
        </w:rPr>
      </w:pPr>
    </w:p>
    <w:p w14:paraId="68C64D76">
      <w:pPr>
        <w:widowControl w:val="0"/>
        <w:adjustRightInd w:val="0"/>
        <w:snapToGrid w:val="0"/>
        <w:spacing w:before="161" w:beforeLines="50" w:after="0" w:line="360" w:lineRule="auto"/>
        <w:ind w:left="0" w:leftChars="0" w:firstLine="420" w:firstLineChars="200"/>
        <w:jc w:val="both"/>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为了保护甲、乙双方合法权益，根据《中华人民共和国民法典》、《中华人民共和国政府采购法》及其他有关法律、法规、规章，双方签订本合同协议书。</w:t>
      </w:r>
    </w:p>
    <w:p w14:paraId="1A96A5AD">
      <w:pPr>
        <w:adjustRightInd w:val="0"/>
        <w:snapToGrid w:val="0"/>
        <w:spacing w:before="161" w:beforeLines="50" w:line="360" w:lineRule="auto"/>
        <w:ind w:firstLine="422" w:firstLineChars="200"/>
        <w:rPr>
          <w:rFonts w:hint="eastAsia" w:ascii="宋体" w:hAnsi="宋体" w:eastAsia="宋体" w:cs="Times New Roman"/>
          <w:b/>
          <w:szCs w:val="21"/>
        </w:rPr>
      </w:pPr>
      <w:r>
        <w:rPr>
          <w:rFonts w:hint="eastAsia" w:ascii="宋体" w:hAnsi="宋体" w:eastAsia="宋体" w:cs="Times New Roman"/>
          <w:b/>
          <w:szCs w:val="21"/>
        </w:rPr>
        <w:t>1.项目信息</w:t>
      </w:r>
    </w:p>
    <w:p w14:paraId="205E905A">
      <w:pPr>
        <w:widowControl w:val="0"/>
        <w:adjustRightInd w:val="0"/>
        <w:snapToGrid w:val="0"/>
        <w:spacing w:before="161" w:beforeLines="50" w:after="0" w:line="360" w:lineRule="auto"/>
        <w:ind w:left="420" w:leftChars="200"/>
        <w:jc w:val="both"/>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（1）采购项目名称：</w:t>
      </w:r>
      <w:r>
        <w:rPr>
          <w:rFonts w:ascii="宋体" w:hAnsi="宋体" w:eastAsia="宋体" w:cs="Times New Roman"/>
          <w:kern w:val="2"/>
          <w:sz w:val="21"/>
          <w:szCs w:val="21"/>
          <w:u w:val="single"/>
          <w:lang w:val="en-US" w:eastAsia="zh-CN" w:bidi="ar-SA"/>
        </w:rPr>
        <w:t xml:space="preserve">                                          </w:t>
      </w:r>
    </w:p>
    <w:p w14:paraId="66D49081">
      <w:pPr>
        <w:widowControl w:val="0"/>
        <w:adjustRightInd w:val="0"/>
        <w:snapToGrid w:val="0"/>
        <w:spacing w:before="161" w:beforeLines="50" w:after="0" w:line="360" w:lineRule="auto"/>
        <w:ind w:left="420" w:leftChars="200"/>
        <w:jc w:val="both"/>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（2）采购计划编号：</w:t>
      </w:r>
      <w:r>
        <w:rPr>
          <w:rFonts w:ascii="宋体" w:hAnsi="宋体" w:eastAsia="宋体" w:cs="Times New Roman"/>
          <w:kern w:val="2"/>
          <w:sz w:val="21"/>
          <w:szCs w:val="21"/>
          <w:u w:val="single"/>
          <w:lang w:val="en-US" w:eastAsia="zh-CN" w:bidi="ar-SA"/>
        </w:rPr>
        <w:t xml:space="preserve">                          </w:t>
      </w:r>
      <w:r>
        <w:rPr>
          <w:rFonts w:ascii="宋体" w:hAnsi="宋体" w:eastAsia="宋体" w:cs="Times New Roman"/>
          <w:kern w:val="2"/>
          <w:sz w:val="21"/>
          <w:szCs w:val="21"/>
          <w:lang w:val="en-US" w:eastAsia="zh-CN" w:bidi="ar-SA"/>
        </w:rPr>
        <w:t xml:space="preserve"> </w:t>
      </w:r>
    </w:p>
    <w:p w14:paraId="03B88D78">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（3）项目内容：</w:t>
      </w:r>
      <w:r>
        <w:rPr>
          <w:rFonts w:hint="eastAsia" w:ascii="宋体" w:hAnsi="宋体" w:eastAsia="宋体" w:cs="Times New Roman"/>
          <w:szCs w:val="21"/>
          <w:u w:val="single"/>
        </w:rPr>
        <w:t xml:space="preserve">                             </w:t>
      </w:r>
    </w:p>
    <w:p w14:paraId="5A17D796">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（4）是否分包：</w:t>
      </w:r>
      <w:r>
        <w:rPr>
          <w:rFonts w:hint="eastAsia" w:ascii="宋体" w:hAnsi="宋体" w:eastAsia="宋体" w:cs="Times New Roman"/>
          <w:szCs w:val="21"/>
          <w:u w:val="single"/>
        </w:rPr>
        <w:t xml:space="preserve">               </w:t>
      </w:r>
      <w:r>
        <w:rPr>
          <w:rFonts w:hint="eastAsia" w:ascii="宋体" w:hAnsi="宋体" w:eastAsia="宋体" w:cs="Times New Roman"/>
          <w:szCs w:val="21"/>
        </w:rPr>
        <w:t>。</w:t>
      </w:r>
    </w:p>
    <w:p w14:paraId="5FB668A9">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（5）项目负责人：</w:t>
      </w:r>
      <w:r>
        <w:rPr>
          <w:rFonts w:hint="eastAsia" w:ascii="宋体" w:hAnsi="宋体" w:eastAsia="宋体" w:cs="Times New Roman"/>
          <w:szCs w:val="21"/>
          <w:u w:val="single"/>
        </w:rPr>
        <w:t xml:space="preserve">               </w:t>
      </w:r>
      <w:r>
        <w:rPr>
          <w:rFonts w:hint="eastAsia" w:ascii="宋体" w:hAnsi="宋体" w:eastAsia="宋体" w:cs="Times New Roman"/>
          <w:szCs w:val="21"/>
        </w:rPr>
        <w:t>。</w:t>
      </w:r>
    </w:p>
    <w:p w14:paraId="73DA0D0F">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（6）联系电话：</w:t>
      </w:r>
      <w:r>
        <w:rPr>
          <w:rFonts w:hint="eastAsia" w:ascii="宋体" w:hAnsi="宋体" w:eastAsia="宋体" w:cs="Times New Roman"/>
          <w:szCs w:val="21"/>
          <w:u w:val="single"/>
        </w:rPr>
        <w:t xml:space="preserve">               </w:t>
      </w:r>
      <w:r>
        <w:rPr>
          <w:rFonts w:hint="eastAsia" w:ascii="宋体" w:hAnsi="宋体" w:eastAsia="宋体" w:cs="Times New Roman"/>
          <w:szCs w:val="21"/>
        </w:rPr>
        <w:t>。</w:t>
      </w:r>
    </w:p>
    <w:p w14:paraId="0F33E759">
      <w:pPr>
        <w:adjustRightInd w:val="0"/>
        <w:snapToGrid w:val="0"/>
        <w:spacing w:before="161" w:beforeLines="50" w:line="360" w:lineRule="auto"/>
        <w:ind w:firstLine="413" w:firstLineChars="196"/>
        <w:rPr>
          <w:rFonts w:hint="eastAsia" w:ascii="宋体" w:hAnsi="宋体" w:eastAsia="宋体" w:cs="Times New Roman"/>
          <w:b/>
          <w:szCs w:val="21"/>
        </w:rPr>
      </w:pPr>
      <w:r>
        <w:rPr>
          <w:rFonts w:hint="eastAsia" w:ascii="宋体" w:hAnsi="宋体" w:eastAsia="宋体" w:cs="Times New Roman"/>
          <w:b/>
          <w:szCs w:val="21"/>
        </w:rPr>
        <w:t>2.合同金额</w:t>
      </w:r>
    </w:p>
    <w:p w14:paraId="553EEE37">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（1）合同金额小写：</w:t>
      </w:r>
      <w:r>
        <w:rPr>
          <w:rFonts w:hint="eastAsia" w:ascii="宋体" w:hAnsi="宋体" w:eastAsia="宋体" w:cs="Times New Roman"/>
          <w:szCs w:val="21"/>
          <w:u w:val="single"/>
        </w:rPr>
        <w:t xml:space="preserve">                      </w:t>
      </w:r>
    </w:p>
    <w:p w14:paraId="6A458640">
      <w:pPr>
        <w:adjustRightInd w:val="0"/>
        <w:snapToGrid w:val="0"/>
        <w:spacing w:before="161" w:beforeLines="50" w:line="360" w:lineRule="auto"/>
        <w:ind w:firstLine="1260" w:firstLineChars="600"/>
        <w:rPr>
          <w:rFonts w:hint="eastAsia" w:ascii="宋体" w:hAnsi="宋体" w:eastAsia="宋体" w:cs="Times New Roman"/>
          <w:b/>
          <w:szCs w:val="21"/>
        </w:rPr>
      </w:pPr>
      <w:r>
        <w:rPr>
          <w:rFonts w:hint="eastAsia" w:ascii="宋体" w:hAnsi="宋体" w:eastAsia="宋体" w:cs="Times New Roman"/>
          <w:szCs w:val="21"/>
        </w:rPr>
        <w:t>大写：</w:t>
      </w:r>
      <w:r>
        <w:rPr>
          <w:rFonts w:hint="eastAsia" w:ascii="宋体" w:hAnsi="宋体" w:eastAsia="宋体" w:cs="Times New Roman"/>
          <w:szCs w:val="21"/>
          <w:u w:val="single"/>
        </w:rPr>
        <w:t xml:space="preserve">                      </w:t>
      </w:r>
    </w:p>
    <w:p w14:paraId="083C3007">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（2）具体标的见附件。</w:t>
      </w:r>
    </w:p>
    <w:p w14:paraId="080B29CE">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（3）合同定价方式：</w:t>
      </w:r>
      <w:r>
        <w:rPr>
          <w:rFonts w:hint="eastAsia" w:ascii="宋体" w:hAnsi="宋体" w:eastAsia="宋体" w:cs="Times New Roman"/>
          <w:iCs/>
          <w:szCs w:val="21"/>
        </w:rPr>
        <w:sym w:font="Wingdings" w:char="00A8"/>
      </w:r>
      <w:r>
        <w:rPr>
          <w:rFonts w:hint="eastAsia" w:ascii="宋体" w:hAnsi="宋体" w:eastAsia="宋体" w:cs="Times New Roman"/>
          <w:iCs/>
          <w:szCs w:val="21"/>
        </w:rPr>
        <w:t xml:space="preserve">固定总价 </w:t>
      </w:r>
      <w:r>
        <w:rPr>
          <w:rFonts w:hint="eastAsia" w:ascii="宋体" w:hAnsi="宋体" w:eastAsia="宋体" w:cs="Times New Roman"/>
          <w:iCs/>
          <w:szCs w:val="21"/>
        </w:rPr>
        <w:sym w:font="Wingdings" w:char="00A8"/>
      </w:r>
      <w:r>
        <w:rPr>
          <w:rFonts w:hint="eastAsia" w:ascii="宋体" w:hAnsi="宋体" w:eastAsia="宋体" w:cs="Times New Roman"/>
          <w:iCs/>
          <w:szCs w:val="21"/>
        </w:rPr>
        <w:t xml:space="preserve">固定单价 </w:t>
      </w:r>
      <w:r>
        <w:rPr>
          <w:rFonts w:hint="eastAsia" w:ascii="宋体" w:hAnsi="宋体" w:eastAsia="宋体" w:cs="Times New Roman"/>
          <w:iCs/>
          <w:szCs w:val="21"/>
        </w:rPr>
        <w:sym w:font="Wingdings" w:char="00A8"/>
      </w:r>
      <w:r>
        <w:rPr>
          <w:rFonts w:hint="eastAsia" w:ascii="宋体" w:hAnsi="宋体" w:eastAsia="宋体" w:cs="Times New Roman"/>
          <w:iCs/>
          <w:szCs w:val="21"/>
        </w:rPr>
        <w:t xml:space="preserve">成本补偿 </w:t>
      </w:r>
      <w:r>
        <w:rPr>
          <w:rFonts w:hint="eastAsia" w:ascii="宋体" w:hAnsi="宋体" w:eastAsia="宋体" w:cs="Times New Roman"/>
          <w:iCs/>
          <w:szCs w:val="21"/>
        </w:rPr>
        <w:sym w:font="Wingdings" w:char="00A8"/>
      </w:r>
      <w:r>
        <w:rPr>
          <w:rFonts w:hint="eastAsia" w:ascii="宋体" w:hAnsi="宋体" w:eastAsia="宋体" w:cs="Times New Roman"/>
          <w:iCs/>
          <w:szCs w:val="21"/>
        </w:rPr>
        <w:t>绩效激励</w:t>
      </w:r>
    </w:p>
    <w:p w14:paraId="2F4F6C39">
      <w:pPr>
        <w:widowControl w:val="0"/>
        <w:spacing w:line="360" w:lineRule="auto"/>
        <w:ind w:firstLine="422" w:firstLineChars="200"/>
        <w:jc w:val="both"/>
        <w:rPr>
          <w:rFonts w:ascii="Calibri" w:hAnsi="Calibri" w:eastAsia="宋体" w:cs="Times New Roman"/>
          <w:b/>
          <w:kern w:val="2"/>
          <w:sz w:val="21"/>
          <w:szCs w:val="22"/>
          <w:lang w:val="en-US" w:eastAsia="zh-CN" w:bidi="ar-SA"/>
        </w:rPr>
      </w:pPr>
      <w:r>
        <w:rPr>
          <w:rFonts w:hint="eastAsia" w:ascii="宋体" w:hAnsi="宋体" w:eastAsia="宋体" w:cs="Times New Roman"/>
          <w:b/>
          <w:kern w:val="2"/>
          <w:sz w:val="21"/>
          <w:szCs w:val="22"/>
          <w:lang w:val="en-US" w:eastAsia="zh-CN" w:bidi="ar-SA"/>
        </w:rPr>
        <w:t>（4）付款方式（按项目实际勾选填写）：</w:t>
      </w:r>
    </w:p>
    <w:p w14:paraId="14F79CE1">
      <w:pPr>
        <w:adjustRightInd w:val="0"/>
        <w:snapToGrid w:val="0"/>
        <w:spacing w:before="161" w:beforeLines="50" w:line="360" w:lineRule="auto"/>
        <w:ind w:firstLine="630" w:firstLineChars="300"/>
        <w:rPr>
          <w:rFonts w:hint="eastAsia" w:ascii="宋体" w:hAnsi="宋体" w:eastAsia="宋体" w:cs="Times New Roman"/>
          <w:szCs w:val="21"/>
          <w:u w:val="single"/>
        </w:rPr>
      </w:pPr>
      <w:r>
        <w:rPr>
          <w:rFonts w:hint="eastAsia" w:ascii="宋体" w:hAnsi="宋体" w:eastAsia="宋体" w:cs="Times New Roman"/>
          <w:szCs w:val="21"/>
        </w:rPr>
        <w:sym w:font="Wingdings" w:char="00A8"/>
      </w:r>
      <w:r>
        <w:rPr>
          <w:rFonts w:hint="eastAsia" w:ascii="宋体" w:hAnsi="宋体" w:eastAsia="宋体" w:cs="Times New Roman"/>
          <w:szCs w:val="21"/>
        </w:rPr>
        <w:t>全额付款：</w:t>
      </w:r>
      <w:r>
        <w:rPr>
          <w:rFonts w:hint="eastAsia" w:ascii="宋体" w:hAnsi="宋体" w:eastAsia="宋体" w:cs="Times New Roman"/>
          <w:szCs w:val="21"/>
          <w:u w:val="single"/>
        </w:rPr>
        <w:t xml:space="preserve">     （应一次性支付全部合同款项）                    </w:t>
      </w:r>
    </w:p>
    <w:p w14:paraId="7A4A12DD">
      <w:pPr>
        <w:adjustRightInd w:val="0"/>
        <w:snapToGrid w:val="0"/>
        <w:spacing w:before="161" w:beforeLines="50" w:line="360" w:lineRule="auto"/>
        <w:ind w:firstLine="630" w:firstLineChars="300"/>
        <w:rPr>
          <w:rFonts w:hint="eastAsia" w:ascii="宋体" w:hAnsi="宋体" w:eastAsia="宋体" w:cs="Times New Roman"/>
          <w:szCs w:val="21"/>
          <w:u w:val="single"/>
        </w:rPr>
      </w:pPr>
      <w:r>
        <w:rPr>
          <w:rFonts w:hint="eastAsia" w:ascii="宋体" w:hAnsi="宋体" w:eastAsia="宋体" w:cs="Times New Roman"/>
          <w:szCs w:val="21"/>
        </w:rPr>
        <w:sym w:font="Wingdings" w:char="00A8"/>
      </w:r>
      <w:r>
        <w:rPr>
          <w:rFonts w:hint="eastAsia" w:ascii="宋体" w:hAnsi="宋体" w:eastAsia="宋体" w:cs="Times New Roman"/>
          <w:szCs w:val="21"/>
        </w:rPr>
        <w:t>预付款：</w:t>
      </w:r>
      <w:r>
        <w:rPr>
          <w:rFonts w:hint="eastAsia" w:ascii="宋体" w:hAnsi="宋体" w:eastAsia="宋体" w:cs="Times New Roman"/>
          <w:szCs w:val="21"/>
          <w:u w:val="single"/>
        </w:rPr>
        <w:t xml:space="preserve">    （应明确预付款的支付比例和支付条件）               </w:t>
      </w:r>
    </w:p>
    <w:p w14:paraId="06C2B228">
      <w:pPr>
        <w:adjustRightInd w:val="0"/>
        <w:snapToGrid w:val="0"/>
        <w:spacing w:before="161" w:beforeLines="50" w:line="360" w:lineRule="auto"/>
        <w:ind w:firstLine="630" w:firstLineChars="300"/>
        <w:rPr>
          <w:rFonts w:hint="eastAsia" w:ascii="宋体" w:hAnsi="宋体" w:eastAsia="宋体" w:cs="Times New Roman"/>
          <w:szCs w:val="21"/>
        </w:rPr>
      </w:pPr>
      <w:r>
        <w:rPr>
          <w:rFonts w:hint="eastAsia" w:ascii="宋体" w:hAnsi="宋体" w:eastAsia="宋体" w:cs="Times New Roman"/>
          <w:szCs w:val="21"/>
        </w:rPr>
        <w:sym w:font="Wingdings" w:char="00A8"/>
      </w:r>
      <w:r>
        <w:rPr>
          <w:rFonts w:hint="eastAsia" w:ascii="宋体" w:hAnsi="宋体" w:eastAsia="宋体" w:cs="Times New Roman"/>
          <w:szCs w:val="21"/>
        </w:rPr>
        <w:t>分期付款：</w:t>
      </w:r>
      <w:r>
        <w:rPr>
          <w:rFonts w:hint="eastAsia" w:ascii="宋体" w:hAnsi="宋体" w:eastAsia="宋体" w:cs="Times New Roman"/>
          <w:szCs w:val="21"/>
          <w:u w:val="single"/>
        </w:rPr>
        <w:t xml:space="preserve">     （应按照季度分期支付合同款项）                   </w:t>
      </w:r>
    </w:p>
    <w:p w14:paraId="76396465">
      <w:pPr>
        <w:adjustRightInd w:val="0"/>
        <w:snapToGrid w:val="0"/>
        <w:spacing w:before="161" w:beforeLines="50" w:line="360" w:lineRule="auto"/>
        <w:ind w:firstLine="630" w:firstLineChars="300"/>
        <w:rPr>
          <w:rFonts w:hint="eastAsia" w:ascii="宋体" w:hAnsi="宋体" w:eastAsia="宋体" w:cs="Times New Roman"/>
          <w:szCs w:val="21"/>
        </w:rPr>
      </w:pPr>
      <w:r>
        <w:rPr>
          <w:rFonts w:hint="eastAsia" w:ascii="宋体" w:hAnsi="宋体" w:eastAsia="宋体" w:cs="Times New Roman"/>
          <w:szCs w:val="21"/>
        </w:rPr>
        <w:sym w:font="Wingdings" w:char="00A8"/>
      </w:r>
      <w:r>
        <w:rPr>
          <w:rFonts w:hint="eastAsia" w:ascii="宋体" w:hAnsi="宋体" w:eastAsia="宋体" w:cs="Times New Roman"/>
          <w:szCs w:val="21"/>
        </w:rPr>
        <w:t>成本补偿：</w:t>
      </w:r>
      <w:r>
        <w:rPr>
          <w:rFonts w:hint="eastAsia" w:ascii="宋体" w:hAnsi="宋体" w:eastAsia="宋体" w:cs="Times New Roman"/>
          <w:szCs w:val="21"/>
          <w:u w:val="single"/>
        </w:rPr>
        <w:t xml:space="preserve">      （应明确按照成本补偿方式的支付方式和支付条件）   </w:t>
      </w:r>
    </w:p>
    <w:p w14:paraId="12CD7BEB">
      <w:pPr>
        <w:adjustRightInd w:val="0"/>
        <w:snapToGrid w:val="0"/>
        <w:spacing w:before="161" w:beforeLines="50" w:line="360" w:lineRule="auto"/>
        <w:ind w:firstLine="630" w:firstLineChars="300"/>
        <w:rPr>
          <w:rFonts w:hint="eastAsia" w:ascii="宋体" w:hAnsi="宋体" w:eastAsia="宋体" w:cs="Times New Roman"/>
          <w:szCs w:val="21"/>
        </w:rPr>
      </w:pPr>
      <w:r>
        <w:rPr>
          <w:rFonts w:hint="eastAsia" w:ascii="宋体" w:hAnsi="宋体" w:eastAsia="宋体" w:cs="Times New Roman"/>
          <w:szCs w:val="21"/>
        </w:rPr>
        <w:sym w:font="Wingdings" w:char="00A8"/>
      </w:r>
      <w:r>
        <w:rPr>
          <w:rFonts w:hint="eastAsia" w:ascii="宋体" w:hAnsi="宋体" w:eastAsia="宋体" w:cs="Times New Roman"/>
          <w:szCs w:val="21"/>
        </w:rPr>
        <w:t>绩效激励：</w:t>
      </w:r>
      <w:r>
        <w:rPr>
          <w:rFonts w:hint="eastAsia" w:ascii="宋体" w:hAnsi="宋体" w:eastAsia="宋体" w:cs="Times New Roman"/>
          <w:szCs w:val="21"/>
          <w:u w:val="single"/>
        </w:rPr>
        <w:t xml:space="preserve">      （应明确按照绩效激励方式的支付方式和支付条件）   </w:t>
      </w:r>
    </w:p>
    <w:p w14:paraId="70179858">
      <w:pPr>
        <w:adjustRightInd w:val="0"/>
        <w:snapToGrid w:val="0"/>
        <w:spacing w:before="161" w:beforeLines="50" w:line="360" w:lineRule="auto"/>
        <w:ind w:firstLine="422" w:firstLineChars="200"/>
        <w:rPr>
          <w:rFonts w:hint="eastAsia" w:ascii="宋体" w:hAnsi="宋体" w:eastAsia="宋体" w:cs="Times New Roman"/>
          <w:szCs w:val="21"/>
          <w:u w:val="single"/>
        </w:rPr>
      </w:pPr>
      <w:r>
        <w:rPr>
          <w:rFonts w:hint="eastAsia" w:ascii="宋体" w:hAnsi="宋体" w:eastAsia="宋体" w:cs="Times New Roman"/>
          <w:b/>
          <w:szCs w:val="21"/>
        </w:rPr>
        <w:t>3.合同履行</w:t>
      </w:r>
    </w:p>
    <w:p w14:paraId="543C6E17">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（1）起始日期：</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日，完成日期：</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日。总日历天数：</w:t>
      </w:r>
      <w:r>
        <w:rPr>
          <w:rFonts w:hint="eastAsia" w:ascii="宋体" w:hAnsi="宋体" w:eastAsia="宋体" w:cs="Times New Roman"/>
          <w:szCs w:val="21"/>
          <w:u w:val="single"/>
        </w:rPr>
        <w:t xml:space="preserve">     </w:t>
      </w:r>
      <w:r>
        <w:rPr>
          <w:rFonts w:hint="eastAsia" w:ascii="宋体" w:hAnsi="宋体" w:eastAsia="宋体" w:cs="Times New Roman"/>
          <w:szCs w:val="21"/>
        </w:rPr>
        <w:t>天。</w:t>
      </w:r>
    </w:p>
    <w:p w14:paraId="2D584797">
      <w:pPr>
        <w:adjustRightInd w:val="0"/>
        <w:snapToGrid w:val="0"/>
        <w:spacing w:before="161" w:beforeLines="50" w:line="360" w:lineRule="auto"/>
        <w:ind w:firstLine="420" w:firstLineChars="200"/>
        <w:rPr>
          <w:rFonts w:hint="eastAsia" w:ascii="宋体" w:hAnsi="宋体" w:eastAsia="宋体" w:cs="Times New Roman"/>
          <w:szCs w:val="21"/>
          <w:u w:val="single"/>
        </w:rPr>
      </w:pPr>
      <w:r>
        <w:rPr>
          <w:rFonts w:hint="eastAsia" w:ascii="宋体" w:hAnsi="宋体" w:eastAsia="宋体" w:cs="Times New Roman"/>
          <w:szCs w:val="21"/>
        </w:rPr>
        <w:t>（2）地点</w:t>
      </w:r>
      <w:r>
        <w:rPr>
          <w:rFonts w:hint="eastAsia" w:ascii="宋体" w:hAnsi="宋体" w:eastAsia="宋体" w:cs="Times New Roman"/>
          <w:b/>
          <w:szCs w:val="21"/>
        </w:rPr>
        <w:t>：</w:t>
      </w:r>
      <w:r>
        <w:rPr>
          <w:rFonts w:hint="eastAsia" w:ascii="宋体" w:hAnsi="宋体" w:eastAsia="宋体" w:cs="Times New Roman"/>
          <w:szCs w:val="21"/>
          <w:u w:val="single"/>
        </w:rPr>
        <w:t xml:space="preserve">                             </w:t>
      </w:r>
    </w:p>
    <w:p w14:paraId="2EBF4087">
      <w:pPr>
        <w:adjustRightInd w:val="0"/>
        <w:snapToGrid w:val="0"/>
        <w:spacing w:before="161" w:beforeLines="50" w:line="360" w:lineRule="auto"/>
        <w:ind w:firstLine="420" w:firstLineChars="200"/>
        <w:rPr>
          <w:rFonts w:hint="eastAsia" w:ascii="宋体" w:hAnsi="宋体" w:eastAsia="宋体" w:cs="Times New Roman"/>
          <w:szCs w:val="21"/>
          <w:u w:val="single"/>
        </w:rPr>
      </w:pPr>
      <w:r>
        <w:rPr>
          <w:rFonts w:hint="eastAsia" w:ascii="宋体" w:hAnsi="宋体" w:eastAsia="宋体" w:cs="Times New Roman"/>
          <w:szCs w:val="21"/>
        </w:rPr>
        <w:t>（3）方式：</w:t>
      </w:r>
      <w:r>
        <w:rPr>
          <w:rFonts w:hint="eastAsia" w:ascii="宋体" w:hAnsi="宋体" w:eastAsia="宋体" w:cs="Times New Roman"/>
          <w:szCs w:val="21"/>
          <w:u w:val="single"/>
        </w:rPr>
        <w:t xml:space="preserve">                             </w:t>
      </w:r>
    </w:p>
    <w:p w14:paraId="7A1B3842">
      <w:pPr>
        <w:adjustRightInd w:val="0"/>
        <w:snapToGrid w:val="0"/>
        <w:spacing w:before="161" w:beforeLines="50" w:line="360" w:lineRule="auto"/>
        <w:ind w:firstLine="420" w:firstLineChars="200"/>
        <w:rPr>
          <w:rFonts w:hint="eastAsia" w:ascii="宋体" w:hAnsi="宋体" w:eastAsia="宋体" w:cs="Times New Roman"/>
          <w:bCs/>
          <w:szCs w:val="21"/>
        </w:rPr>
      </w:pPr>
      <w:r>
        <w:rPr>
          <w:rFonts w:hint="eastAsia" w:ascii="宋体" w:hAnsi="宋体" w:eastAsia="宋体" w:cs="Times New Roman"/>
          <w:bCs/>
          <w:szCs w:val="21"/>
        </w:rPr>
        <w:t>（4）履约担保：</w:t>
      </w:r>
      <w:r>
        <w:rPr>
          <w:rFonts w:hint="eastAsia" w:ascii="宋体" w:hAnsi="宋体" w:eastAsia="宋体" w:cs="Times New Roman"/>
          <w:bCs/>
          <w:szCs w:val="21"/>
          <w:u w:val="single"/>
        </w:rPr>
        <w:t>履约担保的金额、形式和期限要求</w:t>
      </w:r>
      <w:r>
        <w:rPr>
          <w:rFonts w:hint="eastAsia" w:ascii="宋体" w:hAnsi="宋体" w:eastAsia="宋体" w:cs="Times New Roman"/>
          <w:bCs/>
          <w:szCs w:val="21"/>
        </w:rPr>
        <w:t>。</w:t>
      </w:r>
    </w:p>
    <w:p w14:paraId="014A252E">
      <w:pPr>
        <w:adjustRightInd w:val="0"/>
        <w:snapToGrid w:val="0"/>
        <w:spacing w:before="161" w:beforeLines="50" w:line="360" w:lineRule="auto"/>
        <w:ind w:firstLine="420" w:firstLineChars="200"/>
        <w:rPr>
          <w:rFonts w:hint="eastAsia" w:ascii="宋体" w:hAnsi="宋体" w:eastAsia="宋体" w:cs="Times New Roman"/>
          <w:bCs/>
          <w:szCs w:val="21"/>
        </w:rPr>
      </w:pPr>
      <w:r>
        <w:rPr>
          <w:rFonts w:hint="eastAsia" w:ascii="宋体" w:hAnsi="宋体" w:eastAsia="宋体" w:cs="Times New Roman"/>
          <w:bCs/>
          <w:szCs w:val="21"/>
        </w:rPr>
        <w:t>（5）质量保证金：</w:t>
      </w:r>
      <w:r>
        <w:rPr>
          <w:rFonts w:hint="eastAsia" w:ascii="宋体" w:hAnsi="宋体" w:eastAsia="宋体" w:cs="Times New Roman"/>
          <w:bCs/>
          <w:szCs w:val="21"/>
          <w:u w:val="single"/>
        </w:rPr>
        <w:t>质量保证金的金额、形式和期限要求</w:t>
      </w:r>
      <w:r>
        <w:rPr>
          <w:rFonts w:hint="eastAsia" w:ascii="宋体" w:hAnsi="宋体" w:eastAsia="宋体" w:cs="Times New Roman"/>
          <w:bCs/>
          <w:szCs w:val="21"/>
        </w:rPr>
        <w:t>。</w:t>
      </w:r>
    </w:p>
    <w:p w14:paraId="14810A17">
      <w:pPr>
        <w:adjustRightInd w:val="0"/>
        <w:snapToGrid w:val="0"/>
        <w:spacing w:before="161" w:beforeLines="50" w:line="360" w:lineRule="auto"/>
        <w:ind w:firstLine="422" w:firstLineChars="200"/>
        <w:rPr>
          <w:rFonts w:hint="eastAsia" w:ascii="宋体" w:hAnsi="宋体" w:eastAsia="宋体" w:cs="Times New Roman"/>
          <w:b/>
          <w:szCs w:val="21"/>
        </w:rPr>
      </w:pPr>
      <w:r>
        <w:rPr>
          <w:rFonts w:hint="eastAsia" w:ascii="宋体" w:hAnsi="宋体" w:eastAsia="宋体" w:cs="Times New Roman"/>
          <w:b/>
          <w:szCs w:val="21"/>
        </w:rPr>
        <w:t>4.合同验收</w:t>
      </w:r>
    </w:p>
    <w:p w14:paraId="356CC68F">
      <w:pPr>
        <w:adjustRightInd w:val="0"/>
        <w:snapToGrid w:val="0"/>
        <w:spacing w:before="161" w:beforeLines="50" w:line="360" w:lineRule="auto"/>
        <w:ind w:firstLine="420" w:firstLineChars="200"/>
        <w:rPr>
          <w:rFonts w:hint="eastAsia" w:ascii="宋体" w:hAnsi="宋体" w:eastAsia="宋体" w:cs="Times New Roman"/>
          <w:bCs/>
          <w:szCs w:val="21"/>
        </w:rPr>
      </w:pPr>
      <w:r>
        <w:rPr>
          <w:rFonts w:hint="eastAsia" w:ascii="宋体" w:hAnsi="宋体" w:eastAsia="宋体" w:cs="Times New Roman"/>
          <w:bCs/>
          <w:szCs w:val="21"/>
        </w:rPr>
        <w:t>（1）验收主体：</w:t>
      </w:r>
      <w:r>
        <w:rPr>
          <w:rFonts w:hint="eastAsia" w:ascii="宋体" w:hAnsi="宋体" w:eastAsia="宋体" w:cs="Times New Roman"/>
          <w:bCs/>
          <w:szCs w:val="21"/>
          <w:u w:val="single"/>
        </w:rPr>
        <w:t xml:space="preserve">                             </w:t>
      </w:r>
      <w:r>
        <w:rPr>
          <w:rFonts w:hint="eastAsia" w:ascii="宋体" w:hAnsi="宋体" w:eastAsia="宋体" w:cs="Times New Roman"/>
          <w:bCs/>
          <w:szCs w:val="21"/>
        </w:rPr>
        <w:t>。</w:t>
      </w:r>
    </w:p>
    <w:p w14:paraId="290A35C1">
      <w:pPr>
        <w:adjustRightInd w:val="0"/>
        <w:snapToGrid w:val="0"/>
        <w:spacing w:before="161" w:beforeLines="50" w:line="360" w:lineRule="auto"/>
        <w:ind w:firstLine="420" w:firstLineChars="200"/>
        <w:rPr>
          <w:rFonts w:hint="eastAsia" w:ascii="宋体" w:hAnsi="宋体" w:eastAsia="宋体" w:cs="Times New Roman"/>
          <w:bCs/>
          <w:szCs w:val="21"/>
        </w:rPr>
      </w:pPr>
      <w:r>
        <w:rPr>
          <w:rFonts w:hint="eastAsia" w:ascii="宋体" w:hAnsi="宋体" w:eastAsia="宋体" w:cs="Times New Roman"/>
          <w:bCs/>
          <w:szCs w:val="21"/>
        </w:rPr>
        <w:t>（2）验收方式：</w:t>
      </w:r>
      <w:r>
        <w:rPr>
          <w:rFonts w:hint="eastAsia" w:ascii="宋体" w:hAnsi="宋体" w:eastAsia="宋体" w:cs="Times New Roman"/>
          <w:bCs/>
          <w:szCs w:val="21"/>
          <w:u w:val="single"/>
        </w:rPr>
        <w:t xml:space="preserve">                             </w:t>
      </w:r>
      <w:r>
        <w:rPr>
          <w:rFonts w:hint="eastAsia" w:ascii="宋体" w:hAnsi="宋体" w:eastAsia="宋体" w:cs="Times New Roman"/>
          <w:bCs/>
          <w:szCs w:val="21"/>
        </w:rPr>
        <w:t>。</w:t>
      </w:r>
    </w:p>
    <w:p w14:paraId="07BCE829">
      <w:pPr>
        <w:adjustRightInd w:val="0"/>
        <w:snapToGrid w:val="0"/>
        <w:spacing w:before="161" w:beforeLines="50" w:line="360" w:lineRule="auto"/>
        <w:ind w:firstLine="420" w:firstLineChars="200"/>
        <w:rPr>
          <w:rFonts w:hint="eastAsia" w:ascii="宋体" w:hAnsi="宋体" w:eastAsia="宋体" w:cs="Times New Roman"/>
          <w:bCs/>
          <w:szCs w:val="21"/>
        </w:rPr>
      </w:pPr>
      <w:r>
        <w:rPr>
          <w:rFonts w:hint="eastAsia" w:ascii="宋体" w:hAnsi="宋体" w:eastAsia="宋体" w:cs="Times New Roman"/>
          <w:bCs/>
          <w:szCs w:val="21"/>
        </w:rPr>
        <w:t>（3）验收标准：</w:t>
      </w:r>
      <w:r>
        <w:rPr>
          <w:rFonts w:hint="eastAsia" w:ascii="宋体" w:hAnsi="宋体" w:eastAsia="宋体" w:cs="Times New Roman"/>
          <w:bCs/>
          <w:szCs w:val="21"/>
          <w:u w:val="single"/>
        </w:rPr>
        <w:t xml:space="preserve">                             </w:t>
      </w:r>
      <w:r>
        <w:rPr>
          <w:rFonts w:hint="eastAsia" w:ascii="宋体" w:hAnsi="宋体" w:eastAsia="宋体" w:cs="Times New Roman"/>
          <w:bCs/>
          <w:szCs w:val="21"/>
        </w:rPr>
        <w:t>。</w:t>
      </w:r>
    </w:p>
    <w:p w14:paraId="75232576">
      <w:pPr>
        <w:adjustRightInd w:val="0"/>
        <w:snapToGrid w:val="0"/>
        <w:spacing w:before="161" w:beforeLines="50" w:line="360" w:lineRule="auto"/>
        <w:ind w:firstLine="422" w:firstLineChars="200"/>
        <w:rPr>
          <w:rFonts w:hint="eastAsia" w:ascii="宋体" w:hAnsi="宋体" w:eastAsia="宋体" w:cs="Times New Roman"/>
          <w:b/>
          <w:szCs w:val="21"/>
        </w:rPr>
      </w:pPr>
      <w:r>
        <w:rPr>
          <w:rFonts w:hint="eastAsia" w:ascii="宋体" w:hAnsi="宋体" w:eastAsia="宋体" w:cs="Times New Roman"/>
          <w:b/>
          <w:szCs w:val="21"/>
        </w:rPr>
        <w:t>5.组成合同的文件</w:t>
      </w:r>
    </w:p>
    <w:p w14:paraId="60612563">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本协议书与下列文件一起构成合同文件，如下述文件之间有任何抵触、矛盾或歧义，应按以下顺序解释：</w:t>
      </w:r>
    </w:p>
    <w:p w14:paraId="09E43B2F">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（1）在采购或合同履行过程中乙方作出的承诺以及双方协商达成的变更或补充协议</w:t>
      </w:r>
    </w:p>
    <w:p w14:paraId="13BF22FD">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（2）本合同协议书</w:t>
      </w:r>
    </w:p>
    <w:p w14:paraId="26ADFE22">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（3）中标通知书</w:t>
      </w:r>
    </w:p>
    <w:p w14:paraId="7BFB16FE">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（4）投标文件</w:t>
      </w:r>
    </w:p>
    <w:p w14:paraId="6AAE1AC3">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（5）政府采购合同专用条款</w:t>
      </w:r>
    </w:p>
    <w:p w14:paraId="34459ADC">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（6）政府采购合同通用条款</w:t>
      </w:r>
    </w:p>
    <w:p w14:paraId="6D52B29A">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（7）标准、规范及有关技术文件，图纸。</w:t>
      </w:r>
    </w:p>
    <w:p w14:paraId="189A9F21">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（8）其他合同文件。</w:t>
      </w:r>
    </w:p>
    <w:p w14:paraId="7ED77F17">
      <w:pPr>
        <w:adjustRightInd w:val="0"/>
        <w:snapToGrid w:val="0"/>
        <w:spacing w:before="161" w:beforeLines="50" w:line="360" w:lineRule="auto"/>
        <w:ind w:firstLine="310" w:firstLineChars="147"/>
        <w:rPr>
          <w:rFonts w:hint="eastAsia" w:ascii="宋体" w:hAnsi="宋体" w:eastAsia="宋体" w:cs="Times New Roman"/>
          <w:b/>
          <w:szCs w:val="21"/>
        </w:rPr>
      </w:pPr>
      <w:r>
        <w:rPr>
          <w:rFonts w:hint="eastAsia" w:ascii="宋体" w:hAnsi="宋体" w:eastAsia="宋体" w:cs="Times New Roman"/>
          <w:b/>
          <w:szCs w:val="21"/>
        </w:rPr>
        <w:t>6.合同生效</w:t>
      </w:r>
    </w:p>
    <w:p w14:paraId="2C3387D9">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本合同自</w:t>
      </w:r>
      <w:r>
        <w:rPr>
          <w:rFonts w:hint="eastAsia" w:ascii="宋体" w:hAnsi="宋体" w:eastAsia="宋体" w:cs="Times New Roman"/>
          <w:szCs w:val="21"/>
          <w:u w:val="single"/>
        </w:rPr>
        <w:t xml:space="preserve">                             </w:t>
      </w:r>
      <w:r>
        <w:rPr>
          <w:rFonts w:hint="eastAsia" w:ascii="宋体" w:hAnsi="宋体" w:eastAsia="宋体" w:cs="Times New Roman"/>
          <w:szCs w:val="21"/>
        </w:rPr>
        <w:t>生效。</w:t>
      </w:r>
    </w:p>
    <w:p w14:paraId="4FEF5849">
      <w:pPr>
        <w:adjustRightInd w:val="0"/>
        <w:snapToGrid w:val="0"/>
        <w:spacing w:before="161" w:beforeLines="50" w:line="360" w:lineRule="auto"/>
        <w:ind w:firstLine="310" w:firstLineChars="147"/>
        <w:rPr>
          <w:rFonts w:hint="eastAsia" w:ascii="宋体" w:hAnsi="宋体" w:eastAsia="宋体" w:cs="Times New Roman"/>
          <w:b/>
          <w:szCs w:val="21"/>
        </w:rPr>
      </w:pPr>
      <w:r>
        <w:rPr>
          <w:rFonts w:hint="eastAsia" w:ascii="宋体" w:hAnsi="宋体" w:eastAsia="宋体" w:cs="Times New Roman"/>
          <w:b/>
          <w:szCs w:val="21"/>
        </w:rPr>
        <w:t>7.合同份数</w:t>
      </w:r>
    </w:p>
    <w:p w14:paraId="2C1ADB29">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本合同一式</w:t>
      </w:r>
      <w:r>
        <w:rPr>
          <w:rFonts w:hint="eastAsia" w:ascii="宋体" w:hAnsi="宋体" w:eastAsia="宋体" w:cs="Times New Roman"/>
          <w:szCs w:val="21"/>
          <w:u w:val="single"/>
        </w:rPr>
        <w:t xml:space="preserve">    </w:t>
      </w:r>
      <w:r>
        <w:rPr>
          <w:rFonts w:hint="eastAsia" w:ascii="宋体" w:hAnsi="宋体" w:eastAsia="宋体" w:cs="Times New Roman"/>
          <w:szCs w:val="21"/>
        </w:rPr>
        <w:t>份，采购人执</w:t>
      </w:r>
      <w:r>
        <w:rPr>
          <w:rFonts w:hint="eastAsia" w:ascii="宋体" w:hAnsi="宋体" w:eastAsia="宋体" w:cs="Times New Roman"/>
          <w:szCs w:val="21"/>
          <w:u w:val="single"/>
        </w:rPr>
        <w:t xml:space="preserve">   </w:t>
      </w:r>
      <w:r>
        <w:rPr>
          <w:rFonts w:hint="eastAsia" w:ascii="宋体" w:hAnsi="宋体" w:eastAsia="宋体" w:cs="Times New Roman"/>
          <w:szCs w:val="21"/>
        </w:rPr>
        <w:t>份，供应商执</w:t>
      </w:r>
      <w:r>
        <w:rPr>
          <w:rFonts w:hint="eastAsia" w:ascii="宋体" w:hAnsi="宋体" w:eastAsia="宋体" w:cs="Times New Roman"/>
          <w:szCs w:val="21"/>
          <w:u w:val="single"/>
        </w:rPr>
        <w:t xml:space="preserve">   </w:t>
      </w:r>
      <w:r>
        <w:rPr>
          <w:rFonts w:hint="eastAsia" w:ascii="宋体" w:hAnsi="宋体" w:eastAsia="宋体" w:cs="Times New Roman"/>
          <w:szCs w:val="21"/>
        </w:rPr>
        <w:t>份，均具有同等法律效力。</w:t>
      </w:r>
    </w:p>
    <w:p w14:paraId="1D568A4A">
      <w:pPr>
        <w:adjustRightInd w:val="0"/>
        <w:snapToGrid w:val="0"/>
        <w:spacing w:before="161" w:beforeLines="50" w:line="360" w:lineRule="auto"/>
        <w:rPr>
          <w:rFonts w:hint="eastAsia" w:ascii="宋体" w:hAnsi="宋体" w:eastAsia="宋体" w:cs="Times New Roman"/>
          <w:szCs w:val="21"/>
        </w:rPr>
      </w:pPr>
    </w:p>
    <w:p w14:paraId="1C03FCEC">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合同订立时间：</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w:t>
      </w:r>
    </w:p>
    <w:p w14:paraId="600A9A83">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合同订立地点：</w:t>
      </w:r>
      <w:r>
        <w:rPr>
          <w:rFonts w:hint="eastAsia" w:ascii="宋体" w:hAnsi="宋体" w:eastAsia="宋体" w:cs="Times New Roman"/>
          <w:szCs w:val="21"/>
          <w:u w:val="single"/>
        </w:rPr>
        <w:t xml:space="preserve">                           </w:t>
      </w:r>
    </w:p>
    <w:p w14:paraId="11D676F3">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 xml:space="preserve">附件：具体标的明细、分包合同等。    </w:t>
      </w:r>
    </w:p>
    <w:p w14:paraId="6B9DF635">
      <w:pPr>
        <w:widowControl w:val="0"/>
        <w:ind w:firstLine="422" w:firstLineChars="200"/>
        <w:jc w:val="both"/>
        <w:rPr>
          <w:rFonts w:hint="eastAsia" w:ascii="宋体" w:hAnsi="宋体" w:eastAsia="宋体" w:cs="Times New Roman"/>
          <w:b/>
          <w:kern w:val="2"/>
          <w:sz w:val="21"/>
          <w:szCs w:val="22"/>
          <w:lang w:val="en-US" w:eastAsia="zh-CN" w:bidi="ar-SA"/>
        </w:rPr>
      </w:pPr>
    </w:p>
    <w:p w14:paraId="25FB365B">
      <w:pPr>
        <w:widowControl w:val="0"/>
        <w:ind w:firstLine="422" w:firstLineChars="200"/>
        <w:jc w:val="both"/>
        <w:rPr>
          <w:rFonts w:hint="eastAsia" w:ascii="宋体" w:hAnsi="宋体" w:eastAsia="宋体" w:cs="Times New Roman"/>
          <w:b/>
          <w:kern w:val="2"/>
          <w:sz w:val="21"/>
          <w:szCs w:val="22"/>
          <w:lang w:val="en-US" w:eastAsia="zh-CN" w:bidi="ar-SA"/>
        </w:rPr>
      </w:pPr>
    </w:p>
    <w:p w14:paraId="31611880">
      <w:pPr>
        <w:adjustRightInd w:val="0"/>
        <w:snapToGrid w:val="0"/>
        <w:spacing w:before="161" w:beforeLines="50" w:line="360" w:lineRule="auto"/>
        <w:rPr>
          <w:rFonts w:hint="eastAsia" w:ascii="宋体" w:hAnsi="宋体" w:eastAsia="宋体" w:cs="Times New Roman"/>
          <w:szCs w:val="21"/>
        </w:rPr>
      </w:pPr>
      <w:r>
        <w:rPr>
          <w:rFonts w:hint="eastAsia" w:ascii="宋体" w:hAnsi="宋体" w:eastAsia="宋体" w:cs="Times New Roman"/>
          <w:szCs w:val="21"/>
        </w:rPr>
        <w:t>甲      方：（公章）                     乙      方：（公章）</w:t>
      </w:r>
    </w:p>
    <w:p w14:paraId="74F5BF5D">
      <w:pPr>
        <w:adjustRightInd w:val="0"/>
        <w:snapToGrid w:val="0"/>
        <w:spacing w:before="161" w:beforeLines="50" w:line="360" w:lineRule="auto"/>
        <w:rPr>
          <w:rFonts w:hint="eastAsia" w:ascii="宋体" w:hAnsi="宋体" w:eastAsia="宋体" w:cs="Times New Roman"/>
          <w:szCs w:val="21"/>
        </w:rPr>
      </w:pPr>
      <w:r>
        <w:rPr>
          <w:rFonts w:hint="eastAsia" w:ascii="宋体" w:hAnsi="宋体" w:eastAsia="宋体" w:cs="Times New Roman"/>
          <w:szCs w:val="21"/>
        </w:rPr>
        <w:t>法定代表人：</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法定代表人：</w:t>
      </w:r>
      <w:r>
        <w:rPr>
          <w:rFonts w:hint="eastAsia" w:ascii="宋体" w:hAnsi="宋体" w:eastAsia="宋体" w:cs="Times New Roman"/>
          <w:szCs w:val="21"/>
          <w:u w:val="single"/>
        </w:rPr>
        <w:t xml:space="preserve">                   </w:t>
      </w:r>
    </w:p>
    <w:p w14:paraId="12BB3CF6">
      <w:pPr>
        <w:adjustRightInd w:val="0"/>
        <w:snapToGrid w:val="0"/>
        <w:spacing w:before="161" w:beforeLines="50" w:line="360" w:lineRule="auto"/>
        <w:rPr>
          <w:rFonts w:hint="eastAsia" w:ascii="宋体" w:hAnsi="宋体" w:eastAsia="宋体" w:cs="Times New Roman"/>
          <w:szCs w:val="21"/>
        </w:rPr>
      </w:pPr>
      <w:r>
        <w:rPr>
          <w:rFonts w:hint="eastAsia" w:ascii="宋体" w:hAnsi="宋体" w:eastAsia="宋体" w:cs="Times New Roman"/>
          <w:szCs w:val="21"/>
        </w:rPr>
        <w:t>委托代理人：</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委托代理人：</w:t>
      </w:r>
      <w:r>
        <w:rPr>
          <w:rFonts w:hint="eastAsia" w:ascii="宋体" w:hAnsi="宋体" w:eastAsia="宋体" w:cs="Times New Roman"/>
          <w:szCs w:val="21"/>
          <w:u w:val="single"/>
        </w:rPr>
        <w:t xml:space="preserve">                   </w:t>
      </w:r>
    </w:p>
    <w:p w14:paraId="341E6BAE">
      <w:pPr>
        <w:adjustRightInd w:val="0"/>
        <w:snapToGrid w:val="0"/>
        <w:spacing w:before="161" w:beforeLines="50" w:line="360" w:lineRule="auto"/>
        <w:rPr>
          <w:rFonts w:hint="eastAsia" w:ascii="宋体" w:hAnsi="宋体" w:eastAsia="宋体" w:cs="Times New Roman"/>
          <w:szCs w:val="21"/>
        </w:rPr>
      </w:pPr>
      <w:r>
        <w:rPr>
          <w:rFonts w:hint="eastAsia" w:ascii="宋体" w:hAnsi="宋体" w:eastAsia="宋体" w:cs="Times New Roman"/>
          <w:szCs w:val="21"/>
        </w:rPr>
        <w:t>电      话：</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电      话：</w:t>
      </w:r>
      <w:r>
        <w:rPr>
          <w:rFonts w:hint="eastAsia" w:ascii="宋体" w:hAnsi="宋体" w:eastAsia="宋体" w:cs="Times New Roman"/>
          <w:szCs w:val="21"/>
          <w:u w:val="single"/>
        </w:rPr>
        <w:t xml:space="preserve">                   </w:t>
      </w:r>
    </w:p>
    <w:p w14:paraId="0E15C28A">
      <w:pPr>
        <w:adjustRightInd w:val="0"/>
        <w:snapToGrid w:val="0"/>
        <w:spacing w:before="161" w:beforeLines="50" w:line="360" w:lineRule="auto"/>
        <w:rPr>
          <w:rFonts w:hint="eastAsia" w:ascii="宋体" w:hAnsi="宋体" w:eastAsia="宋体" w:cs="Times New Roman"/>
          <w:szCs w:val="21"/>
        </w:rPr>
      </w:pPr>
      <w:r>
        <w:rPr>
          <w:rFonts w:hint="eastAsia" w:ascii="宋体" w:hAnsi="宋体" w:eastAsia="宋体" w:cs="Times New Roman"/>
          <w:szCs w:val="21"/>
        </w:rPr>
        <w:t>传      真：</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传      真：</w:t>
      </w:r>
      <w:r>
        <w:rPr>
          <w:rFonts w:hint="eastAsia" w:ascii="宋体" w:hAnsi="宋体" w:eastAsia="宋体" w:cs="Times New Roman"/>
          <w:szCs w:val="21"/>
          <w:u w:val="single"/>
        </w:rPr>
        <w:t xml:space="preserve">                   </w:t>
      </w:r>
    </w:p>
    <w:p w14:paraId="73D4D0D1">
      <w:pPr>
        <w:adjustRightInd w:val="0"/>
        <w:snapToGrid w:val="0"/>
        <w:spacing w:before="161"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 xml:space="preserve">                                    开 户 银 行：</w:t>
      </w:r>
      <w:r>
        <w:rPr>
          <w:rFonts w:hint="eastAsia" w:ascii="宋体" w:hAnsi="宋体" w:eastAsia="宋体" w:cs="Times New Roman"/>
          <w:szCs w:val="21"/>
          <w:u w:val="single"/>
        </w:rPr>
        <w:t xml:space="preserve">                   </w:t>
      </w:r>
    </w:p>
    <w:p w14:paraId="465BD3F7">
      <w:pPr>
        <w:adjustRightInd w:val="0"/>
        <w:snapToGrid w:val="0"/>
        <w:spacing w:before="161" w:beforeLines="50" w:line="360" w:lineRule="auto"/>
        <w:jc w:val="center"/>
        <w:rPr>
          <w:rFonts w:hint="eastAsia" w:ascii="宋体" w:hAnsi="宋体" w:eastAsia="宋体" w:cs="Times New Roman"/>
          <w:b/>
          <w:szCs w:val="21"/>
        </w:rPr>
      </w:pPr>
      <w:r>
        <w:rPr>
          <w:rFonts w:hint="eastAsia" w:ascii="宋体" w:hAnsi="宋体" w:eastAsia="宋体" w:cs="Times New Roman"/>
          <w:szCs w:val="21"/>
        </w:rPr>
        <w:t xml:space="preserve">         账       号：</w:t>
      </w:r>
      <w:r>
        <w:rPr>
          <w:rFonts w:hint="eastAsia" w:ascii="宋体" w:hAnsi="宋体" w:eastAsia="宋体" w:cs="Times New Roman"/>
          <w:szCs w:val="21"/>
          <w:u w:val="single"/>
        </w:rPr>
        <w:t xml:space="preserve">                   </w:t>
      </w:r>
    </w:p>
    <w:p w14:paraId="4BDF9641">
      <w:pPr>
        <w:adjustRightInd w:val="0"/>
        <w:snapToGrid w:val="0"/>
        <w:spacing w:before="161" w:beforeLines="50" w:line="360" w:lineRule="auto"/>
        <w:rPr>
          <w:rFonts w:hint="eastAsia" w:ascii="宋体" w:hAnsi="宋体" w:eastAsia="宋体" w:cs="Times New Roman"/>
          <w:szCs w:val="21"/>
        </w:rPr>
      </w:pPr>
    </w:p>
    <w:p w14:paraId="5B940830">
      <w:pPr>
        <w:adjustRightInd w:val="0"/>
        <w:snapToGrid w:val="0"/>
        <w:spacing w:before="161" w:beforeLines="50" w:line="360" w:lineRule="auto"/>
        <w:rPr>
          <w:rFonts w:hint="eastAsia" w:ascii="宋体" w:hAnsi="宋体" w:eastAsia="宋体" w:cs="Times New Roman"/>
          <w:szCs w:val="21"/>
        </w:rPr>
      </w:pPr>
      <w:r>
        <w:rPr>
          <w:rFonts w:hint="eastAsia" w:ascii="宋体" w:hAnsi="宋体" w:eastAsia="宋体" w:cs="Times New Roman"/>
          <w:szCs w:val="21"/>
        </w:rPr>
        <w:t xml:space="preserve">        </w:t>
      </w:r>
    </w:p>
    <w:p w14:paraId="590B0BB4">
      <w:pPr>
        <w:keepNext/>
        <w:keepLines/>
        <w:widowControl w:val="0"/>
        <w:adjustRightInd w:val="0"/>
        <w:snapToGrid w:val="0"/>
        <w:spacing w:before="161" w:beforeLines="50" w:line="360" w:lineRule="auto"/>
        <w:jc w:val="center"/>
        <w:outlineLvl w:val="1"/>
        <w:rPr>
          <w:rFonts w:hint="eastAsia" w:ascii="黑体" w:hAnsi="黑体" w:eastAsia="黑体" w:cs="Times New Roman"/>
          <w:b/>
          <w:bCs/>
          <w:kern w:val="2"/>
          <w:sz w:val="28"/>
          <w:szCs w:val="28"/>
          <w:lang w:val="en-US" w:eastAsia="zh-CN" w:bidi="ar-SA"/>
        </w:rPr>
      </w:pPr>
      <w:r>
        <w:rPr>
          <w:rFonts w:ascii="宋体" w:hAnsi="宋体" w:eastAsia="宋体" w:cs="Times New Roman"/>
          <w:b/>
          <w:bCs/>
          <w:kern w:val="2"/>
          <w:sz w:val="21"/>
          <w:szCs w:val="21"/>
          <w:u w:val="single"/>
          <w:lang w:val="en-US" w:eastAsia="zh-CN" w:bidi="ar-SA"/>
        </w:rPr>
        <w:br w:type="page"/>
      </w:r>
      <w:bookmarkStart w:id="124" w:name="_Toc765"/>
      <w:r>
        <w:rPr>
          <w:rFonts w:hint="eastAsia" w:ascii="黑体" w:hAnsi="黑体" w:eastAsia="黑体" w:cs="Times New Roman"/>
          <w:b/>
          <w:bCs/>
          <w:kern w:val="2"/>
          <w:sz w:val="28"/>
          <w:szCs w:val="28"/>
          <w:lang w:val="en-US" w:eastAsia="zh-CN" w:bidi="ar-SA"/>
        </w:rPr>
        <w:t>第二节 政府采购合同通用条款</w:t>
      </w:r>
      <w:bookmarkEnd w:id="124"/>
    </w:p>
    <w:p w14:paraId="17CCD24F">
      <w:pPr>
        <w:tabs>
          <w:tab w:val="left" w:pos="8820"/>
          <w:tab w:val="left" w:pos="9345"/>
          <w:tab w:val="left" w:pos="9765"/>
        </w:tabs>
        <w:adjustRightInd w:val="0"/>
        <w:snapToGrid w:val="0"/>
        <w:spacing w:before="50" w:line="360" w:lineRule="auto"/>
        <w:jc w:val="left"/>
        <w:rPr>
          <w:rFonts w:hint="eastAsia" w:ascii="宋体" w:hAnsi="宋体" w:eastAsia="宋体" w:cs="Times New Roman"/>
          <w:b/>
          <w:bCs/>
          <w:sz w:val="24"/>
        </w:rPr>
      </w:pPr>
      <w:r>
        <w:rPr>
          <w:rFonts w:hint="eastAsia" w:ascii="宋体" w:hAnsi="宋体" w:eastAsia="宋体" w:cs="Times New Roman"/>
          <w:b/>
          <w:sz w:val="24"/>
        </w:rPr>
        <w:t>1.</w:t>
      </w:r>
      <w:r>
        <w:rPr>
          <w:rFonts w:hint="eastAsia" w:ascii="宋体" w:hAnsi="宋体" w:eastAsia="宋体" w:cs="Times New Roman"/>
          <w:b/>
          <w:bCs/>
          <w:sz w:val="24"/>
        </w:rPr>
        <w:t>定义</w:t>
      </w:r>
    </w:p>
    <w:p w14:paraId="27ACD2FA">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1.1合同当事人</w:t>
      </w:r>
    </w:p>
    <w:p w14:paraId="2C269617">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（1）采购人（以下称甲方）是指使用财政性资金，通过政府采购方式向供应商购买货物、服务的国家机关、事业单位、团体组织。本次采购的甲方名称、地址见</w:t>
      </w:r>
      <w:r>
        <w:rPr>
          <w:rFonts w:hint="eastAsia" w:ascii="宋体" w:hAnsi="宋体" w:eastAsia="宋体" w:cs="Times New Roman"/>
          <w:b/>
          <w:szCs w:val="21"/>
        </w:rPr>
        <w:t>【政府采购合同专用条款】。</w:t>
      </w:r>
    </w:p>
    <w:p w14:paraId="5F58BEF4">
      <w:pPr>
        <w:autoSpaceDE w:val="0"/>
        <w:autoSpaceDN w:val="0"/>
        <w:adjustRightInd w:val="0"/>
        <w:snapToGrid w:val="0"/>
        <w:spacing w:before="50" w:line="360" w:lineRule="auto"/>
        <w:ind w:firstLine="420" w:firstLineChars="200"/>
        <w:jc w:val="left"/>
        <w:rPr>
          <w:rFonts w:hint="eastAsia" w:ascii="宋体" w:hAnsi="宋体" w:eastAsia="宋体" w:cs="Times New Roman"/>
          <w:b/>
          <w:szCs w:val="21"/>
        </w:rPr>
      </w:pPr>
      <w:r>
        <w:rPr>
          <w:rFonts w:hint="eastAsia" w:ascii="宋体" w:hAnsi="宋体" w:eastAsia="宋体" w:cs="Times New Roman"/>
          <w:szCs w:val="21"/>
        </w:rPr>
        <w:t>（2）供应商（以下称乙方）是指参加政府采购活动而取得中标结果，并向采购人提供货物、服务的法人、其他组织或者自然人。</w:t>
      </w:r>
    </w:p>
    <w:p w14:paraId="6AA2853C">
      <w:pPr>
        <w:tabs>
          <w:tab w:val="left" w:pos="570"/>
          <w:tab w:val="left" w:pos="9240"/>
          <w:tab w:val="left" w:pos="9555"/>
        </w:tabs>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1.2本合同下列术语应解释为：</w:t>
      </w:r>
    </w:p>
    <w:p w14:paraId="77DE2C87">
      <w:pPr>
        <w:tabs>
          <w:tab w:val="left" w:pos="570"/>
          <w:tab w:val="left" w:pos="9240"/>
          <w:tab w:val="left" w:pos="9555"/>
        </w:tabs>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（1）“合同”系指甲乙双方签署的、政府采购合同协议书中载明的甲乙双方所达成的协议，包括所有的附件、附录和上述文件所提到的构成合同的所有文件。</w:t>
      </w:r>
    </w:p>
    <w:p w14:paraId="215F402A">
      <w:pPr>
        <w:tabs>
          <w:tab w:val="left" w:pos="570"/>
          <w:tab w:val="left" w:pos="9240"/>
          <w:tab w:val="left" w:pos="9555"/>
        </w:tabs>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（2）“合同价”系指根据本合同规定乙方在正确地完全履行合同义务后甲方应支付给乙方的价款。</w:t>
      </w:r>
    </w:p>
    <w:p w14:paraId="5E2D4E51">
      <w:pPr>
        <w:tabs>
          <w:tab w:val="left" w:pos="570"/>
          <w:tab w:val="left" w:pos="9240"/>
          <w:tab w:val="left" w:pos="9555"/>
        </w:tabs>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（3）“货物”系指乙方根据本合同规定须向甲方提供的各种形态和种类的物品，包括原材料、设备、产品（包括软件）及相关的其备品备件、工具、手册及其它技术资料和材料。</w:t>
      </w:r>
    </w:p>
    <w:p w14:paraId="0B226913">
      <w:pPr>
        <w:tabs>
          <w:tab w:val="left" w:pos="570"/>
          <w:tab w:val="left" w:pos="8880"/>
          <w:tab w:val="left" w:pos="9555"/>
        </w:tabs>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4）“服务”系指根据合同规定，乙方应提供的技术、管理和其它服务，包括但不限于：管理和质量保证、运输、保险、检验、现场准备、安装、集成、调试、培训、维修、技术支持等以及合同中规定乙方应承担的其它义务。</w:t>
      </w:r>
    </w:p>
    <w:p w14:paraId="4225A3BE">
      <w:pPr>
        <w:tabs>
          <w:tab w:val="left" w:pos="570"/>
          <w:tab w:val="left" w:pos="9240"/>
          <w:tab w:val="left" w:pos="9555"/>
        </w:tabs>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（5）“合同条款”系指本合同及其附件、补充文件约定的全部条款。</w:t>
      </w:r>
    </w:p>
    <w:p w14:paraId="39077F73">
      <w:pPr>
        <w:tabs>
          <w:tab w:val="left" w:pos="570"/>
          <w:tab w:val="left" w:pos="9240"/>
          <w:tab w:val="left" w:pos="9555"/>
        </w:tabs>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（6）“项目现场”系指本合同项下货物安装、运行的现场，其名称见</w:t>
      </w:r>
      <w:r>
        <w:rPr>
          <w:rFonts w:hint="eastAsia" w:ascii="宋体" w:hAnsi="宋体" w:eastAsia="宋体" w:cs="Times New Roman"/>
          <w:b/>
          <w:szCs w:val="21"/>
        </w:rPr>
        <w:t>【政府采购合同专用条款】</w:t>
      </w:r>
      <w:r>
        <w:rPr>
          <w:rFonts w:hint="eastAsia" w:ascii="宋体" w:hAnsi="宋体" w:eastAsia="宋体" w:cs="Times New Roman"/>
          <w:szCs w:val="21"/>
        </w:rPr>
        <w:t>。</w:t>
      </w:r>
    </w:p>
    <w:p w14:paraId="6FB126EE">
      <w:pPr>
        <w:autoSpaceDE w:val="0"/>
        <w:autoSpaceDN w:val="0"/>
        <w:adjustRightInd w:val="0"/>
        <w:snapToGrid w:val="0"/>
        <w:spacing w:before="50" w:line="360" w:lineRule="auto"/>
        <w:jc w:val="left"/>
        <w:rPr>
          <w:rFonts w:hint="eastAsia" w:ascii="宋体" w:hAnsi="宋体" w:eastAsia="宋体" w:cs="Times New Roman"/>
          <w:b/>
          <w:sz w:val="24"/>
        </w:rPr>
      </w:pPr>
      <w:r>
        <w:rPr>
          <w:rFonts w:hint="eastAsia" w:ascii="宋体" w:hAnsi="宋体" w:eastAsia="宋体" w:cs="Times New Roman"/>
          <w:b/>
          <w:sz w:val="24"/>
        </w:rPr>
        <w:t>2.合同的适用范围</w:t>
      </w:r>
    </w:p>
    <w:p w14:paraId="7A2F7597">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2.1 本合同条款适用于没有被本合同其他部分的条款所取代的范围。</w:t>
      </w:r>
    </w:p>
    <w:p w14:paraId="09BF08E3">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2.2 合同内容根据招标文件、投标文件而确定。</w:t>
      </w:r>
    </w:p>
    <w:p w14:paraId="00C496A7">
      <w:pPr>
        <w:autoSpaceDE w:val="0"/>
        <w:autoSpaceDN w:val="0"/>
        <w:adjustRightInd w:val="0"/>
        <w:snapToGrid w:val="0"/>
        <w:spacing w:before="50" w:line="360" w:lineRule="auto"/>
        <w:jc w:val="left"/>
        <w:rPr>
          <w:rFonts w:hint="eastAsia" w:ascii="宋体" w:hAnsi="宋体" w:eastAsia="宋体" w:cs="Times New Roman"/>
          <w:b/>
          <w:bCs/>
          <w:sz w:val="24"/>
        </w:rPr>
      </w:pPr>
      <w:r>
        <w:rPr>
          <w:rFonts w:hint="eastAsia" w:ascii="宋体" w:hAnsi="宋体" w:eastAsia="宋体" w:cs="Times New Roman"/>
          <w:b/>
          <w:bCs/>
          <w:sz w:val="24"/>
        </w:rPr>
        <w:t>3.</w:t>
      </w:r>
      <w:r>
        <w:rPr>
          <w:rFonts w:hint="eastAsia" w:ascii="宋体" w:hAnsi="宋体" w:eastAsia="宋体" w:cs="Times New Roman"/>
          <w:b/>
          <w:sz w:val="24"/>
        </w:rPr>
        <w:t>合同标的及金额</w:t>
      </w:r>
    </w:p>
    <w:p w14:paraId="10D44243">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3.1 合同标的及金额应与中标结果一致。</w:t>
      </w:r>
    </w:p>
    <w:p w14:paraId="39FEC3A8">
      <w:pPr>
        <w:autoSpaceDE w:val="0"/>
        <w:autoSpaceDN w:val="0"/>
        <w:adjustRightInd w:val="0"/>
        <w:snapToGrid w:val="0"/>
        <w:spacing w:before="50" w:line="360" w:lineRule="auto"/>
        <w:jc w:val="left"/>
        <w:rPr>
          <w:rFonts w:hint="eastAsia" w:ascii="宋体" w:hAnsi="宋体" w:eastAsia="宋体" w:cs="Times New Roman"/>
          <w:b/>
          <w:bCs/>
          <w:sz w:val="24"/>
        </w:rPr>
      </w:pPr>
      <w:r>
        <w:rPr>
          <w:rFonts w:hint="eastAsia" w:ascii="宋体" w:hAnsi="宋体" w:eastAsia="宋体" w:cs="Times New Roman"/>
          <w:b/>
          <w:bCs/>
          <w:sz w:val="24"/>
        </w:rPr>
        <w:t>4.</w:t>
      </w:r>
      <w:r>
        <w:rPr>
          <w:rFonts w:hint="eastAsia" w:ascii="宋体" w:hAnsi="宋体" w:eastAsia="宋体" w:cs="Times New Roman"/>
          <w:b/>
          <w:sz w:val="24"/>
        </w:rPr>
        <w:t>合同价款</w:t>
      </w:r>
    </w:p>
    <w:p w14:paraId="7DA4D5AA">
      <w:pPr>
        <w:adjustRightInd w:val="0"/>
        <w:snapToGrid w:val="0"/>
        <w:spacing w:before="50" w:line="360" w:lineRule="auto"/>
        <w:ind w:firstLine="420" w:firstLineChars="200"/>
        <w:jc w:val="left"/>
        <w:rPr>
          <w:rFonts w:hint="eastAsia" w:ascii="宋体" w:hAnsi="宋体" w:eastAsia="宋体" w:cs="Times New Roman"/>
          <w:b/>
          <w:bCs/>
          <w:i/>
          <w:iCs/>
          <w:szCs w:val="21"/>
        </w:rPr>
      </w:pPr>
      <w:r>
        <w:rPr>
          <w:rFonts w:hint="eastAsia" w:ascii="宋体" w:hAnsi="宋体" w:eastAsia="宋体" w:cs="Times New Roman"/>
          <w:szCs w:val="21"/>
        </w:rPr>
        <w:t>4.1具体合同价款见本合同第3.1条。乙方为履行本合同而发生的所有费用均应包含在合同价款中，甲方不再另行支付其它任何费用。</w:t>
      </w:r>
    </w:p>
    <w:p w14:paraId="37A5C3CF">
      <w:pPr>
        <w:adjustRightInd w:val="0"/>
        <w:snapToGrid w:val="0"/>
        <w:spacing w:before="50" w:line="360" w:lineRule="auto"/>
        <w:jc w:val="left"/>
        <w:rPr>
          <w:rFonts w:hint="eastAsia" w:ascii="宋体" w:hAnsi="宋体" w:eastAsia="宋体" w:cs="Times New Roman"/>
          <w:b/>
          <w:sz w:val="24"/>
        </w:rPr>
      </w:pPr>
      <w:r>
        <w:rPr>
          <w:rFonts w:hint="eastAsia" w:ascii="宋体" w:hAnsi="宋体" w:eastAsia="宋体" w:cs="Times New Roman"/>
          <w:b/>
          <w:sz w:val="24"/>
        </w:rPr>
        <w:t>5.履行合同的时间、地点和方式</w:t>
      </w:r>
    </w:p>
    <w:p w14:paraId="6D55A926">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5.1 乙方应当在甲方确定的时间、指定的地点履行合同，具体的交货时间、地点和方式见</w:t>
      </w:r>
      <w:r>
        <w:rPr>
          <w:rFonts w:hint="eastAsia" w:ascii="宋体" w:hAnsi="宋体" w:eastAsia="宋体" w:cs="Times New Roman"/>
          <w:b/>
          <w:szCs w:val="21"/>
        </w:rPr>
        <w:t>【政府采购合同专用条款】</w:t>
      </w:r>
      <w:r>
        <w:rPr>
          <w:rFonts w:hint="eastAsia" w:ascii="宋体" w:hAnsi="宋体" w:eastAsia="宋体" w:cs="Times New Roman"/>
          <w:szCs w:val="21"/>
        </w:rPr>
        <w:t>。</w:t>
      </w:r>
    </w:p>
    <w:p w14:paraId="0A47058D">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5.2 乙方提供服务的应当在甲方指定的时间和地点完成服务项目。</w:t>
      </w:r>
    </w:p>
    <w:p w14:paraId="61ACB7AE">
      <w:pPr>
        <w:adjustRightInd w:val="0"/>
        <w:snapToGrid w:val="0"/>
        <w:spacing w:before="50" w:line="360" w:lineRule="auto"/>
        <w:jc w:val="left"/>
        <w:rPr>
          <w:rFonts w:hint="eastAsia" w:ascii="宋体" w:hAnsi="宋体" w:eastAsia="宋体" w:cs="Times New Roman"/>
          <w:b/>
          <w:bCs/>
          <w:sz w:val="24"/>
        </w:rPr>
      </w:pPr>
      <w:r>
        <w:rPr>
          <w:rFonts w:hint="eastAsia" w:ascii="宋体" w:hAnsi="宋体" w:eastAsia="宋体" w:cs="Times New Roman"/>
          <w:b/>
          <w:bCs/>
          <w:sz w:val="24"/>
        </w:rPr>
        <w:t>6.</w:t>
      </w:r>
      <w:r>
        <w:rPr>
          <w:rFonts w:hint="eastAsia" w:ascii="宋体" w:hAnsi="宋体" w:eastAsia="宋体" w:cs="Times New Roman"/>
          <w:b/>
          <w:sz w:val="24"/>
        </w:rPr>
        <w:t>货物的验收</w:t>
      </w:r>
    </w:p>
    <w:p w14:paraId="3A0F76A9">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6.1 甲方在收到乙方交付的货物后应当及时组织验收。</w:t>
      </w:r>
    </w:p>
    <w:p w14:paraId="7E48132C">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6.2 货物的表面瑕疵，甲方应在验收时提出；对质量问题有异议的应在安装调试后提出。</w:t>
      </w:r>
    </w:p>
    <w:p w14:paraId="2E1480C3">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6.3 在验收过程中发现数量不足或有质量、技术等问题，乙方应负责按照甲方的要求采取补足、更换或退货等处理措施，并承担由此发生的一切费用和损失。</w:t>
      </w:r>
    </w:p>
    <w:p w14:paraId="639C8364">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6.4 甲方在乙方按合同规定交货或安装、调试后，无正当理由而拖延接收、验收或拒绝接收、验收的，应承担因此给乙方造成的直接损失。</w:t>
      </w:r>
    </w:p>
    <w:p w14:paraId="06698945">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6.5 甲方对货物进行检查验收合格后，应当收取发票并在《交货验收单》上签署验收意见及加盖单位印章。</w:t>
      </w:r>
    </w:p>
    <w:p w14:paraId="19C3CBCC">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6.6 大型或者复杂的货物采购项目，甲方可以邀请国家认可的质量检测机构参加验收工作，并由其出具验收报告单。</w:t>
      </w:r>
    </w:p>
    <w:p w14:paraId="076E1FA3">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6.7 乙方提供的进口产品，乙方应出示中华人民共和国进出口商品检验部门出具的检验证书（招标文件第五章采购需求另有约定的除外）。</w:t>
      </w:r>
    </w:p>
    <w:p w14:paraId="26C0717B">
      <w:pPr>
        <w:adjustRightInd w:val="0"/>
        <w:snapToGrid w:val="0"/>
        <w:spacing w:before="50" w:line="360" w:lineRule="auto"/>
        <w:jc w:val="left"/>
        <w:rPr>
          <w:rFonts w:hint="eastAsia" w:ascii="宋体" w:hAnsi="宋体" w:eastAsia="宋体" w:cs="Times New Roman"/>
          <w:b/>
          <w:bCs/>
          <w:sz w:val="24"/>
        </w:rPr>
      </w:pPr>
      <w:r>
        <w:rPr>
          <w:rFonts w:hint="eastAsia" w:ascii="宋体" w:hAnsi="宋体" w:eastAsia="宋体" w:cs="Times New Roman"/>
          <w:b/>
          <w:bCs/>
          <w:sz w:val="24"/>
        </w:rPr>
        <w:t>7.货物包装要求</w:t>
      </w:r>
    </w:p>
    <w:p w14:paraId="3FCE372D">
      <w:pPr>
        <w:autoSpaceDE w:val="0"/>
        <w:autoSpaceDN w:val="0"/>
        <w:adjustRightInd w:val="0"/>
        <w:snapToGrid w:val="0"/>
        <w:spacing w:before="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65279BBA">
      <w:pPr>
        <w:autoSpaceDE w:val="0"/>
        <w:autoSpaceDN w:val="0"/>
        <w:adjustRightInd w:val="0"/>
        <w:snapToGrid w:val="0"/>
        <w:spacing w:before="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7.2 乙方交付的货物应按照《关于印发&lt;商品包装政府采购需求标准（试行）&gt;、&lt;快递包装政府采购需求标准（试行）&gt;的通知》的要求进行包装。</w:t>
      </w:r>
    </w:p>
    <w:p w14:paraId="3B8E1B5E">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宋体"/>
          <w:szCs w:val="21"/>
        </w:rPr>
        <w:t>7.3 每一个包装箱内应附一份详细装箱单、质量证书和保修保养证书。</w:t>
      </w:r>
    </w:p>
    <w:p w14:paraId="55BCB519">
      <w:pPr>
        <w:adjustRightInd w:val="0"/>
        <w:snapToGrid w:val="0"/>
        <w:spacing w:before="50" w:line="360" w:lineRule="auto"/>
        <w:jc w:val="left"/>
        <w:rPr>
          <w:rFonts w:hint="eastAsia" w:ascii="宋体" w:hAnsi="宋体" w:eastAsia="宋体" w:cs="Times New Roman"/>
          <w:b/>
          <w:sz w:val="24"/>
        </w:rPr>
      </w:pPr>
      <w:r>
        <w:rPr>
          <w:rFonts w:hint="eastAsia" w:ascii="宋体" w:hAnsi="宋体" w:eastAsia="宋体" w:cs="Times New Roman"/>
          <w:b/>
          <w:sz w:val="24"/>
        </w:rPr>
        <w:t>8.运输和保险</w:t>
      </w:r>
    </w:p>
    <w:p w14:paraId="437C52A7">
      <w:pPr>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8.1乙方负责办理将货物运抵本合同第5.1条规定的交货地点的一切运输事项，相关费用应包括在合同总价中。</w:t>
      </w:r>
    </w:p>
    <w:p w14:paraId="137BB0F4">
      <w:pPr>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8.2乙方应向保险公司投保以甲方为受益人的发运合同货物发票金额的110％运输一切险。</w:t>
      </w:r>
    </w:p>
    <w:p w14:paraId="0B4043C8">
      <w:pPr>
        <w:adjustRightInd w:val="0"/>
        <w:snapToGrid w:val="0"/>
        <w:spacing w:before="50" w:line="360" w:lineRule="auto"/>
        <w:jc w:val="left"/>
        <w:rPr>
          <w:rFonts w:hint="eastAsia" w:ascii="宋体" w:hAnsi="宋体" w:eastAsia="宋体" w:cs="Times New Roman"/>
          <w:b/>
          <w:sz w:val="24"/>
        </w:rPr>
      </w:pPr>
      <w:r>
        <w:rPr>
          <w:rFonts w:hint="eastAsia" w:ascii="宋体" w:hAnsi="宋体" w:eastAsia="宋体" w:cs="Times New Roman"/>
          <w:b/>
          <w:sz w:val="24"/>
        </w:rPr>
        <w:t>9.质量标准和保证</w:t>
      </w:r>
    </w:p>
    <w:p w14:paraId="3B74F98B">
      <w:pPr>
        <w:widowControl w:val="0"/>
        <w:adjustRightInd w:val="0"/>
        <w:snapToGrid w:val="0"/>
        <w:spacing w:before="50" w:line="360" w:lineRule="auto"/>
        <w:ind w:firstLine="420" w:firstLineChars="200"/>
        <w:jc w:val="left"/>
        <w:rPr>
          <w:rFonts w:hint="eastAsia" w:ascii="宋体" w:hAnsi="宋体" w:eastAsia="宋体" w:cs="Courier New"/>
          <w:b/>
          <w:kern w:val="2"/>
          <w:sz w:val="21"/>
          <w:szCs w:val="21"/>
          <w:lang w:val="en-US" w:eastAsia="zh-CN" w:bidi="ar-SA"/>
        </w:rPr>
      </w:pPr>
      <w:r>
        <w:rPr>
          <w:rFonts w:hint="eastAsia" w:ascii="宋体" w:hAnsi="宋体" w:eastAsia="宋体" w:cs="Courier New"/>
          <w:kern w:val="2"/>
          <w:sz w:val="21"/>
          <w:szCs w:val="21"/>
          <w:lang w:val="en-US" w:eastAsia="zh-CN" w:bidi="ar-SA"/>
        </w:rPr>
        <w:t>9.1 质量标准</w:t>
      </w:r>
    </w:p>
    <w:p w14:paraId="11961195">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（1）本合同下交付的货物应符合招标</w:t>
      </w:r>
      <w:r>
        <w:rPr>
          <w:rFonts w:hint="eastAsia" w:ascii="宋体" w:hAnsi="宋体" w:eastAsia="宋体" w:cs="Courier New"/>
          <w:bCs/>
          <w:szCs w:val="21"/>
        </w:rPr>
        <w:t>文件第五章“采购需求”</w:t>
      </w:r>
      <w:r>
        <w:rPr>
          <w:rFonts w:hint="eastAsia" w:ascii="宋体" w:hAnsi="宋体" w:eastAsia="宋体" w:cs="Times New Roman"/>
          <w:szCs w:val="21"/>
        </w:rPr>
        <w:t>所述的标准。如果没有提及适用标准，则应符合中华人民共和国有关机构发布的最新版本的标准。</w:t>
      </w:r>
    </w:p>
    <w:p w14:paraId="452D2A90">
      <w:pPr>
        <w:widowControl w:val="0"/>
        <w:adjustRightInd w:val="0"/>
        <w:snapToGrid w:val="0"/>
        <w:spacing w:before="50" w:line="360" w:lineRule="auto"/>
        <w:ind w:firstLine="420" w:firstLineChars="200"/>
        <w:jc w:val="left"/>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（2）采用中华人民共和国法定计量单位。</w:t>
      </w:r>
    </w:p>
    <w:p w14:paraId="70C6C14F">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（3）乙方所出售的货物还应符合国家有关安全、环保、卫生之规定。</w:t>
      </w:r>
    </w:p>
    <w:p w14:paraId="13F2DC3A">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9.2 保证</w:t>
      </w:r>
    </w:p>
    <w:p w14:paraId="66F75F88">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eastAsia="宋体" w:cs="Times New Roman"/>
          <w:b/>
          <w:szCs w:val="21"/>
        </w:rPr>
        <w:t>【政府采购合同专用条款】</w:t>
      </w:r>
      <w:r>
        <w:rPr>
          <w:rFonts w:hint="eastAsia" w:ascii="宋体" w:hAnsi="宋体" w:eastAsia="宋体" w:cs="Times New Roman"/>
          <w:szCs w:val="21"/>
        </w:rPr>
        <w:t>规定或乙方承诺（两者以较长的为准）的质量保证期内，本保证保持有效。</w:t>
      </w:r>
    </w:p>
    <w:p w14:paraId="3B18C2AB">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（2）在质量保证期内所发现的缺陷，甲方应尽快以书面形式通知乙方。</w:t>
      </w:r>
    </w:p>
    <w:p w14:paraId="3FF0E0EE">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（3）乙方收到通知后应在</w:t>
      </w:r>
      <w:r>
        <w:rPr>
          <w:rFonts w:hint="eastAsia" w:ascii="宋体" w:hAnsi="宋体" w:eastAsia="宋体" w:cs="Times New Roman"/>
          <w:b/>
          <w:szCs w:val="21"/>
        </w:rPr>
        <w:t>【政府采购合同专用条款】</w:t>
      </w:r>
      <w:r>
        <w:rPr>
          <w:rFonts w:hint="eastAsia" w:ascii="宋体" w:hAnsi="宋体" w:eastAsia="宋体" w:cs="Times New Roman"/>
          <w:szCs w:val="21"/>
        </w:rPr>
        <w:t>规定的响应时间内以合理的速度免费维修或更换有缺陷的货物或部件。</w:t>
      </w:r>
    </w:p>
    <w:p w14:paraId="16F1D6E4">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（4）在质量保证期内，如果货物的质量或规格与合同不符，或证实货物是有缺陷的，包括潜在的缺陷或使用不符合要求的材料等，甲方可以根据本合同第15.1条规定以书面形式向乙方提出补救措施或索赔。</w:t>
      </w:r>
    </w:p>
    <w:p w14:paraId="56CDA6CB">
      <w:pPr>
        <w:adjustRightInd w:val="0"/>
        <w:snapToGrid w:val="0"/>
        <w:spacing w:before="50" w:line="360" w:lineRule="auto"/>
        <w:ind w:firstLine="420" w:firstLineChars="200"/>
        <w:jc w:val="left"/>
        <w:rPr>
          <w:rFonts w:hint="eastAsia" w:ascii="宋体" w:hAnsi="宋体" w:eastAsia="宋体" w:cs="Times New Roman"/>
          <w:b/>
          <w:szCs w:val="21"/>
        </w:rPr>
      </w:pPr>
      <w:r>
        <w:rPr>
          <w:rFonts w:hint="eastAsia" w:ascii="宋体" w:hAnsi="宋体" w:eastAsia="宋体" w:cs="Times New Roman"/>
          <w:szCs w:val="21"/>
        </w:rPr>
        <w:t>（5）乙方在约定的时间内未能弥补缺陷，甲方可采取必要的补救措施，但其风险和费用将由乙方承担，甲方根据合同规定对乙方行使的其他权利不受影响。</w:t>
      </w:r>
    </w:p>
    <w:p w14:paraId="2A849BE7">
      <w:pPr>
        <w:adjustRightInd w:val="0"/>
        <w:snapToGrid w:val="0"/>
        <w:spacing w:before="50" w:line="360" w:lineRule="auto"/>
        <w:jc w:val="left"/>
        <w:rPr>
          <w:rFonts w:hint="eastAsia" w:ascii="宋体" w:hAnsi="宋体" w:eastAsia="宋体" w:cs="Times New Roman"/>
          <w:b/>
          <w:bCs/>
          <w:sz w:val="24"/>
        </w:rPr>
      </w:pPr>
      <w:r>
        <w:rPr>
          <w:rFonts w:hint="eastAsia" w:ascii="宋体" w:hAnsi="宋体" w:eastAsia="宋体" w:cs="Times New Roman"/>
          <w:b/>
          <w:bCs/>
          <w:sz w:val="24"/>
        </w:rPr>
        <w:t>10.权利瑕疵担保</w:t>
      </w:r>
    </w:p>
    <w:p w14:paraId="3C5DC4CF">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10.1 乙方保证对其出售的货物享有合法的权利。</w:t>
      </w:r>
    </w:p>
    <w:p w14:paraId="74541582">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10.2 乙方保证在其出售的货物上不存在任何未曾向甲方透露的担保物权，如抵押权、质押权、留置权等。</w:t>
      </w:r>
    </w:p>
    <w:p w14:paraId="58CA1409">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10.3 如甲方使用该货物构成上述侵权的，则由乙方承担全部责任。</w:t>
      </w:r>
    </w:p>
    <w:p w14:paraId="5B6F8831">
      <w:pPr>
        <w:autoSpaceDE w:val="0"/>
        <w:autoSpaceDN w:val="0"/>
        <w:adjustRightInd w:val="0"/>
        <w:snapToGrid w:val="0"/>
        <w:spacing w:before="50" w:line="360" w:lineRule="auto"/>
        <w:jc w:val="left"/>
        <w:rPr>
          <w:rFonts w:hint="eastAsia" w:ascii="宋体" w:hAnsi="宋体" w:eastAsia="宋体" w:cs="Times New Roman"/>
          <w:b/>
          <w:bCs/>
          <w:sz w:val="24"/>
        </w:rPr>
      </w:pPr>
      <w:r>
        <w:rPr>
          <w:rFonts w:hint="eastAsia" w:ascii="宋体" w:hAnsi="宋体" w:eastAsia="宋体" w:cs="Times New Roman"/>
          <w:b/>
          <w:bCs/>
          <w:sz w:val="24"/>
        </w:rPr>
        <w:t>11.知识产权保护</w:t>
      </w:r>
    </w:p>
    <w:p w14:paraId="60C8A15B">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11.1 乙方对其所销售的货物应当享有知识产权或经权利人合法授权，保证没有侵犯任何第三人的知识产权和商业秘密等权利。</w:t>
      </w:r>
    </w:p>
    <w:p w14:paraId="0BE30CEF">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11.2 甲方使用乙方提供的货物对第三人构成侵权的，应当由乙方承担全部法律责任，给甲方造成损害的，乙方应当承担赔偿责任。</w:t>
      </w:r>
    </w:p>
    <w:p w14:paraId="2073DD61">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11.3 甲方委托乙方开发的产品，甲方享有知识产权，未经甲方许可不得转让任何第三人。</w:t>
      </w:r>
    </w:p>
    <w:p w14:paraId="1800A0B1">
      <w:pPr>
        <w:autoSpaceDE w:val="0"/>
        <w:autoSpaceDN w:val="0"/>
        <w:adjustRightInd w:val="0"/>
        <w:snapToGrid w:val="0"/>
        <w:spacing w:before="50" w:line="360" w:lineRule="auto"/>
        <w:jc w:val="left"/>
        <w:rPr>
          <w:rFonts w:hint="eastAsia" w:ascii="宋体" w:hAnsi="宋体" w:eastAsia="宋体" w:cs="Times New Roman"/>
          <w:b/>
          <w:bCs/>
          <w:sz w:val="24"/>
        </w:rPr>
      </w:pPr>
      <w:r>
        <w:rPr>
          <w:rFonts w:hint="eastAsia" w:ascii="宋体" w:hAnsi="宋体" w:eastAsia="宋体" w:cs="Times New Roman"/>
          <w:b/>
          <w:bCs/>
          <w:sz w:val="24"/>
        </w:rPr>
        <w:t>12.保密义务</w:t>
      </w:r>
    </w:p>
    <w:p w14:paraId="6B216098">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12.1 甲、乙双方在采购和履行合同过程中所获悉的对方属于保密的内容，双方均有保密义务。</w:t>
      </w:r>
    </w:p>
    <w:p w14:paraId="7A838D31">
      <w:pPr>
        <w:autoSpaceDE w:val="0"/>
        <w:autoSpaceDN w:val="0"/>
        <w:adjustRightInd w:val="0"/>
        <w:snapToGrid w:val="0"/>
        <w:spacing w:before="50" w:line="360" w:lineRule="auto"/>
        <w:jc w:val="left"/>
        <w:rPr>
          <w:rFonts w:hint="eastAsia" w:ascii="宋体" w:hAnsi="宋体" w:eastAsia="宋体" w:cs="Times New Roman"/>
          <w:b/>
          <w:bCs/>
          <w:sz w:val="24"/>
        </w:rPr>
      </w:pPr>
      <w:r>
        <w:rPr>
          <w:rFonts w:hint="eastAsia" w:ascii="宋体" w:hAnsi="宋体" w:eastAsia="宋体" w:cs="Times New Roman"/>
          <w:b/>
          <w:bCs/>
          <w:sz w:val="24"/>
        </w:rPr>
        <w:t>13.合同价款支付</w:t>
      </w:r>
    </w:p>
    <w:p w14:paraId="23CC993F">
      <w:pPr>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13.1验收合格后，乙方出具正规发票给甲方，凭甲方开具的《政府采购合同验收报告单》办理合同价</w:t>
      </w:r>
      <w:r>
        <w:rPr>
          <w:rFonts w:hint="eastAsia" w:ascii="宋体" w:hAnsi="宋体" w:eastAsia="宋体" w:cs="Times New Roman"/>
          <w:bCs/>
          <w:szCs w:val="21"/>
        </w:rPr>
        <w:t>款</w:t>
      </w:r>
      <w:r>
        <w:rPr>
          <w:rFonts w:hint="eastAsia" w:ascii="宋体" w:hAnsi="宋体" w:eastAsia="宋体" w:cs="Times New Roman"/>
          <w:szCs w:val="21"/>
        </w:rPr>
        <w:t>结算手续。</w:t>
      </w:r>
    </w:p>
    <w:p w14:paraId="7B1FD6E2">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13.2 合同价款构成中应当由财政支付的部分，甲方应当在货物验收合格</w:t>
      </w:r>
      <w:bookmarkStart w:id="125" w:name="_Hlk159253476"/>
      <w:r>
        <w:rPr>
          <w:rFonts w:hint="eastAsia" w:ascii="宋体" w:hAnsi="宋体" w:eastAsia="宋体" w:cs="Times New Roman"/>
          <w:szCs w:val="21"/>
        </w:rPr>
        <w:t>并收到乙方开具的等额增值税发票</w:t>
      </w:r>
      <w:bookmarkEnd w:id="125"/>
      <w:r>
        <w:rPr>
          <w:rFonts w:hint="eastAsia" w:ascii="宋体" w:hAnsi="宋体" w:eastAsia="宋体" w:cs="Times New Roman"/>
          <w:szCs w:val="21"/>
        </w:rPr>
        <w:t>后向国库管理部门申请支付，经国库管理部门审核后支付给乙方。</w:t>
      </w:r>
    </w:p>
    <w:p w14:paraId="0F838382">
      <w:pPr>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13.3 合同价款构成中应当由甲方自行支付的部分，甲方应当在货物验收合格并收到乙方开具的等额增值税发票后支付。</w:t>
      </w:r>
    </w:p>
    <w:p w14:paraId="4358B8D1">
      <w:pPr>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13.4支付合同价</w:t>
      </w:r>
      <w:r>
        <w:rPr>
          <w:rFonts w:hint="eastAsia" w:ascii="宋体" w:hAnsi="宋体" w:eastAsia="宋体" w:cs="Times New Roman"/>
          <w:bCs/>
          <w:szCs w:val="21"/>
        </w:rPr>
        <w:t>款</w:t>
      </w:r>
      <w:r>
        <w:rPr>
          <w:rFonts w:hint="eastAsia" w:ascii="宋体" w:hAnsi="宋体" w:eastAsia="宋体" w:cs="Times New Roman"/>
          <w:szCs w:val="21"/>
        </w:rPr>
        <w:t>时，一律不向乙方以外的任何第三方办理付款手续。开户行和账号以签订的政府采购合同为准，如果乙方要求变更，则乙方必须提供加盖了财务专用章、法定代表人签字的证明文件，报经甲方审查同意。</w:t>
      </w:r>
    </w:p>
    <w:p w14:paraId="3DB6F24F">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13.5 合同价款支付方式</w:t>
      </w:r>
      <w:r>
        <w:rPr>
          <w:rFonts w:hint="eastAsia" w:ascii="宋体" w:hAnsi="宋体" w:eastAsia="宋体" w:cs="Times New Roman"/>
          <w:bCs/>
          <w:szCs w:val="21"/>
        </w:rPr>
        <w:t>和条件在</w:t>
      </w:r>
      <w:r>
        <w:rPr>
          <w:rFonts w:hint="eastAsia" w:ascii="宋体" w:hAnsi="宋体" w:eastAsia="宋体" w:cs="Times New Roman"/>
          <w:b/>
          <w:szCs w:val="21"/>
        </w:rPr>
        <w:t>【政府采购合同专用条款】</w:t>
      </w:r>
      <w:r>
        <w:rPr>
          <w:rFonts w:hint="eastAsia" w:ascii="宋体" w:hAnsi="宋体" w:eastAsia="宋体" w:cs="Times New Roman"/>
          <w:szCs w:val="21"/>
        </w:rPr>
        <w:t>中另有规定。</w:t>
      </w:r>
    </w:p>
    <w:p w14:paraId="2E7A8602">
      <w:pPr>
        <w:autoSpaceDE w:val="0"/>
        <w:autoSpaceDN w:val="0"/>
        <w:adjustRightInd w:val="0"/>
        <w:snapToGrid w:val="0"/>
        <w:spacing w:before="50" w:line="360" w:lineRule="auto"/>
        <w:jc w:val="left"/>
        <w:rPr>
          <w:rFonts w:hint="eastAsia" w:ascii="宋体" w:hAnsi="宋体" w:eastAsia="宋体" w:cs="Times New Roman"/>
          <w:b/>
          <w:sz w:val="24"/>
        </w:rPr>
      </w:pPr>
      <w:r>
        <w:rPr>
          <w:rFonts w:hint="eastAsia" w:ascii="宋体" w:hAnsi="宋体" w:eastAsia="宋体" w:cs="Times New Roman"/>
          <w:b/>
          <w:bCs/>
          <w:sz w:val="24"/>
        </w:rPr>
        <w:t>14.</w:t>
      </w:r>
      <w:r>
        <w:rPr>
          <w:rFonts w:hint="eastAsia" w:ascii="Times New Roman" w:hAnsi="Times New Roman" w:eastAsia="宋体" w:cs="Times New Roman"/>
          <w:b/>
          <w:sz w:val="24"/>
        </w:rPr>
        <w:t>乙方应提供的</w:t>
      </w:r>
      <w:r>
        <w:rPr>
          <w:rFonts w:hint="eastAsia" w:ascii="宋体" w:hAnsi="宋体" w:eastAsia="宋体" w:cs="Times New Roman"/>
          <w:b/>
          <w:sz w:val="24"/>
        </w:rPr>
        <w:t>服务</w:t>
      </w:r>
    </w:p>
    <w:p w14:paraId="2D73D53E">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14.1 乙方应向甲方提交所提供货物的技术文件，包括相应的中文技术文件，如：产品目录、图纸、操作手册、使用说明、维护手册或服务指南。这些文件应包装好随同货物一起发运。</w:t>
      </w:r>
    </w:p>
    <w:p w14:paraId="4FC86F2F">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14.2 乙方还应提供下列服务：</w:t>
      </w:r>
    </w:p>
    <w:p w14:paraId="575E38BD">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（1）货物的现场移动、安装、调试、启动监督及技术支持；</w:t>
      </w:r>
    </w:p>
    <w:p w14:paraId="54B37C42">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（2）提供货物组装和维修所需的专用工具和辅助材料；</w:t>
      </w:r>
    </w:p>
    <w:p w14:paraId="04B2C267">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（3）在合同各方商定的一定期限内对所有的货物实施运行监督、维修，但前提条件是该服务并不能免除乙方在质量保证期内所承担的义务；</w:t>
      </w:r>
    </w:p>
    <w:p w14:paraId="58D89566">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（4）在制造商或项目现场就货物的安装、启动、运营、维护对甲方操作人员进行培训；</w:t>
      </w:r>
    </w:p>
    <w:p w14:paraId="07E85BCD">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（5）</w:t>
      </w:r>
      <w:r>
        <w:rPr>
          <w:rFonts w:hint="eastAsia" w:ascii="宋体" w:hAnsi="宋体" w:eastAsia="宋体" w:cs="Times New Roman"/>
          <w:b/>
          <w:szCs w:val="21"/>
        </w:rPr>
        <w:t>【政府采购合同专用条款】</w:t>
      </w:r>
      <w:r>
        <w:rPr>
          <w:rFonts w:hint="eastAsia" w:ascii="宋体" w:hAnsi="宋体" w:eastAsia="宋体" w:cs="Times New Roman"/>
          <w:szCs w:val="21"/>
        </w:rPr>
        <w:t>规定由乙方提供的其他服务。</w:t>
      </w:r>
    </w:p>
    <w:p w14:paraId="7816709B">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14.3 乙方提供的服务的费用应包含在合同价款中，甲方不再另行支付。</w:t>
      </w:r>
    </w:p>
    <w:p w14:paraId="0FEADFCD">
      <w:pPr>
        <w:adjustRightInd w:val="0"/>
        <w:snapToGrid w:val="0"/>
        <w:spacing w:before="50" w:line="360" w:lineRule="auto"/>
        <w:jc w:val="left"/>
        <w:rPr>
          <w:rFonts w:hint="eastAsia" w:ascii="宋体" w:hAnsi="宋体" w:eastAsia="宋体" w:cs="Times New Roman"/>
          <w:b/>
          <w:bCs/>
          <w:sz w:val="24"/>
        </w:rPr>
      </w:pPr>
      <w:r>
        <w:rPr>
          <w:rFonts w:hint="eastAsia" w:ascii="宋体" w:hAnsi="宋体" w:eastAsia="宋体" w:cs="Times New Roman"/>
          <w:b/>
          <w:bCs/>
          <w:sz w:val="24"/>
        </w:rPr>
        <w:t>15.违约责任</w:t>
      </w:r>
    </w:p>
    <w:p w14:paraId="409867C1">
      <w:pPr>
        <w:adjustRightInd w:val="0"/>
        <w:snapToGrid w:val="0"/>
        <w:spacing w:before="50" w:line="360" w:lineRule="auto"/>
        <w:ind w:firstLine="420" w:firstLineChars="200"/>
        <w:jc w:val="left"/>
        <w:rPr>
          <w:rFonts w:hint="eastAsia" w:ascii="宋体" w:hAnsi="宋体" w:eastAsia="宋体" w:cs="Times New Roman"/>
          <w:bCs/>
          <w:szCs w:val="21"/>
        </w:rPr>
      </w:pPr>
      <w:r>
        <w:rPr>
          <w:rFonts w:hint="eastAsia" w:ascii="宋体" w:hAnsi="宋体" w:eastAsia="宋体" w:cs="Times New Roman"/>
          <w:bCs/>
          <w:szCs w:val="21"/>
        </w:rPr>
        <w:t>15.1质量瑕疵的补救措施和索赔</w:t>
      </w:r>
    </w:p>
    <w:p w14:paraId="31D13E5E">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43525B2A">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①乙方退货并将货款退还给甲方，由此发生的一切费用和损失由乙方承担。</w:t>
      </w:r>
    </w:p>
    <w:p w14:paraId="49802AE1">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②根据货物的质量状况以及甲方所遭受的损失，经过甲乙双方商定降低货物的价格。</w:t>
      </w:r>
    </w:p>
    <w:p w14:paraId="54F9E4A9">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11C608F4">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75523F25">
      <w:pPr>
        <w:autoSpaceDE w:val="0"/>
        <w:autoSpaceDN w:val="0"/>
        <w:adjustRightInd w:val="0"/>
        <w:snapToGrid w:val="0"/>
        <w:spacing w:before="50" w:line="360" w:lineRule="auto"/>
        <w:ind w:firstLine="420" w:firstLineChars="200"/>
        <w:jc w:val="left"/>
        <w:rPr>
          <w:rFonts w:hint="eastAsia" w:ascii="宋体" w:hAnsi="宋体" w:eastAsia="宋体" w:cs="Times New Roman"/>
          <w:bCs/>
          <w:szCs w:val="21"/>
        </w:rPr>
      </w:pPr>
      <w:r>
        <w:rPr>
          <w:rFonts w:hint="eastAsia" w:ascii="宋体" w:hAnsi="宋体" w:eastAsia="宋体" w:cs="Times New Roman"/>
          <w:bCs/>
          <w:szCs w:val="21"/>
        </w:rPr>
        <w:t>15.2 迟延交货的违约责任</w:t>
      </w:r>
    </w:p>
    <w:p w14:paraId="6F4D6BB8">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082A66A9">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（2）除本合同</w:t>
      </w:r>
      <w:r>
        <w:rPr>
          <w:rFonts w:hint="eastAsia" w:ascii="宋体" w:hAnsi="宋体" w:eastAsia="宋体" w:cs="Times New Roman"/>
          <w:bCs/>
          <w:szCs w:val="21"/>
        </w:rPr>
        <w:t>第20条</w:t>
      </w:r>
      <w:r>
        <w:rPr>
          <w:rFonts w:hint="eastAsia" w:ascii="宋体" w:hAnsi="宋体" w:eastAsia="宋体" w:cs="Times New Roman"/>
          <w:szCs w:val="21"/>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w:t>
      </w:r>
      <w:bookmarkStart w:id="126" w:name="_Hlk159253532"/>
      <w:r>
        <w:rPr>
          <w:rFonts w:hint="eastAsia" w:ascii="宋体" w:hAnsi="宋体" w:eastAsia="宋体" w:cs="Times New Roman"/>
          <w:szCs w:val="21"/>
        </w:rPr>
        <w:t>当误期赔偿费超过合同价的百分之五（5%）</w:t>
      </w:r>
      <w:bookmarkEnd w:id="126"/>
      <w:r>
        <w:rPr>
          <w:rFonts w:hint="eastAsia" w:ascii="宋体" w:hAnsi="宋体" w:eastAsia="宋体" w:cs="Times New Roman"/>
          <w:szCs w:val="21"/>
        </w:rPr>
        <w:t>，甲方还可以终止合同。</w:t>
      </w:r>
    </w:p>
    <w:p w14:paraId="5DB11BC3">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6E82F4C8">
      <w:pPr>
        <w:autoSpaceDE w:val="0"/>
        <w:autoSpaceDN w:val="0"/>
        <w:adjustRightInd w:val="0"/>
        <w:snapToGrid w:val="0"/>
        <w:spacing w:before="50" w:line="360" w:lineRule="auto"/>
        <w:jc w:val="left"/>
        <w:rPr>
          <w:rFonts w:hint="eastAsia" w:ascii="宋体" w:hAnsi="宋体" w:eastAsia="宋体" w:cs="Times New Roman"/>
          <w:b/>
          <w:sz w:val="24"/>
        </w:rPr>
      </w:pPr>
      <w:r>
        <w:rPr>
          <w:rFonts w:hint="eastAsia" w:ascii="宋体" w:hAnsi="宋体" w:eastAsia="宋体" w:cs="Times New Roman"/>
          <w:b/>
          <w:sz w:val="24"/>
        </w:rPr>
        <w:t>16.合同的变更</w:t>
      </w:r>
    </w:p>
    <w:p w14:paraId="30F5A0E8">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16.1 在合同履行过程中，甲、乙双方可就合同履行的时间、地点和方式等协商进行变更。协商一致后，双方应签订书面的补充协议。</w:t>
      </w:r>
    </w:p>
    <w:p w14:paraId="5A2AAEAF">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16.2 在不改变合同其他条款的前提下，甲方有权在合同价款百分之十的范围内追加与合同标的相同的货物或服务，并就此与乙方签订补充合同，乙方不得拒绝。</w:t>
      </w:r>
    </w:p>
    <w:p w14:paraId="327C5793">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16.3 除双方签署书面协议，并成为合同不可分割的一部分外，本合同条件不得有任何变更。</w:t>
      </w:r>
    </w:p>
    <w:p w14:paraId="673880BC">
      <w:pPr>
        <w:autoSpaceDE w:val="0"/>
        <w:autoSpaceDN w:val="0"/>
        <w:adjustRightInd w:val="0"/>
        <w:snapToGrid w:val="0"/>
        <w:spacing w:before="50" w:line="360" w:lineRule="auto"/>
        <w:jc w:val="left"/>
        <w:rPr>
          <w:rFonts w:hint="eastAsia" w:ascii="宋体" w:hAnsi="宋体" w:eastAsia="宋体" w:cs="Times New Roman"/>
          <w:b/>
          <w:sz w:val="24"/>
        </w:rPr>
      </w:pPr>
      <w:r>
        <w:rPr>
          <w:rFonts w:hint="eastAsia" w:ascii="宋体" w:hAnsi="宋体" w:eastAsia="宋体" w:cs="Times New Roman"/>
          <w:b/>
          <w:sz w:val="24"/>
        </w:rPr>
        <w:t>17.合同中止与终止</w:t>
      </w:r>
    </w:p>
    <w:p w14:paraId="7DAFA06F">
      <w:pPr>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17.1合同的中止</w:t>
      </w:r>
    </w:p>
    <w:p w14:paraId="55AAB0FE">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（1）合同在履行过程中，因采购计划调整，甲方可以要求中止履行，待计划确定后继续履行；</w:t>
      </w:r>
    </w:p>
    <w:p w14:paraId="1054E50E">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（2）合同履行过程中因供应商就采购过程或结果提起投诉的，甲方认为有必要或财政部门责令中止的，应当中止合同的履行。</w:t>
      </w:r>
    </w:p>
    <w:p w14:paraId="23E40954">
      <w:pPr>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17.2合同的终止</w:t>
      </w:r>
    </w:p>
    <w:p w14:paraId="7E469AAD">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（1）合同因有效期限届满而终止；</w:t>
      </w:r>
    </w:p>
    <w:p w14:paraId="75A8E3C4">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（2）乙方未能依照本合同约定条件履行合同，已构成根本性违约的，甲方有权终止本合同，并追究乙方的违约责任。</w:t>
      </w:r>
    </w:p>
    <w:p w14:paraId="6B36DF65">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（3）如果乙方丧失履约能力或被宣告破产，甲方可在任何时候以书面形式通知乙方终止合同而不给乙方补偿。</w:t>
      </w:r>
    </w:p>
    <w:p w14:paraId="33251603">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（4）如果乙方在履行合同过程中有不正当竞争行为，甲方有权解除合同，并按《中华人民共和国反不正当竞争法》规定由有关部门追究其法律责任。</w:t>
      </w:r>
    </w:p>
    <w:p w14:paraId="30CA2F5B">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（5）如果合同的履行将损害国家利益或社会公共利益，甲方有权终止合同的履行，给乙方造成损失的予以相应补偿。</w:t>
      </w:r>
    </w:p>
    <w:p w14:paraId="57878DB9">
      <w:pPr>
        <w:autoSpaceDE w:val="0"/>
        <w:autoSpaceDN w:val="0"/>
        <w:adjustRightInd w:val="0"/>
        <w:snapToGrid w:val="0"/>
        <w:spacing w:before="50" w:line="360" w:lineRule="auto"/>
        <w:jc w:val="left"/>
        <w:rPr>
          <w:rFonts w:hint="eastAsia" w:ascii="宋体" w:hAnsi="宋体" w:eastAsia="宋体" w:cs="Times New Roman"/>
          <w:b/>
          <w:bCs/>
          <w:sz w:val="24"/>
        </w:rPr>
      </w:pPr>
      <w:r>
        <w:rPr>
          <w:rFonts w:hint="eastAsia" w:ascii="宋体" w:hAnsi="宋体" w:eastAsia="宋体" w:cs="Times New Roman"/>
          <w:b/>
          <w:bCs/>
          <w:sz w:val="24"/>
        </w:rPr>
        <w:t>18.合同转让和分包</w:t>
      </w:r>
    </w:p>
    <w:p w14:paraId="0654DFFB">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18.1 乙方不得以任何形式将合同转包。</w:t>
      </w:r>
    </w:p>
    <w:p w14:paraId="012157A2">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18.2 乙方未在投标文件中说明，不得将</w:t>
      </w:r>
      <w:r>
        <w:rPr>
          <w:rFonts w:hint="eastAsia" w:ascii="宋体" w:hAnsi="宋体" w:eastAsia="宋体" w:cs="Times New Roman"/>
          <w:bCs/>
          <w:szCs w:val="21"/>
        </w:rPr>
        <w:t>合同</w:t>
      </w:r>
      <w:r>
        <w:rPr>
          <w:rFonts w:hint="eastAsia" w:ascii="宋体" w:hAnsi="宋体" w:eastAsia="宋体" w:cs="Times New Roman"/>
          <w:szCs w:val="21"/>
        </w:rPr>
        <w:t>的非主体、非关键性工作分包给他人。</w:t>
      </w:r>
    </w:p>
    <w:p w14:paraId="772BA536">
      <w:pPr>
        <w:autoSpaceDE w:val="0"/>
        <w:autoSpaceDN w:val="0"/>
        <w:adjustRightInd w:val="0"/>
        <w:snapToGrid w:val="0"/>
        <w:spacing w:before="50" w:line="360" w:lineRule="auto"/>
        <w:jc w:val="left"/>
        <w:rPr>
          <w:rFonts w:hint="eastAsia" w:ascii="宋体" w:hAnsi="宋体" w:eastAsia="宋体" w:cs="Times New Roman"/>
          <w:b/>
          <w:bCs/>
          <w:sz w:val="24"/>
        </w:rPr>
      </w:pPr>
      <w:r>
        <w:rPr>
          <w:rFonts w:hint="eastAsia" w:ascii="宋体" w:hAnsi="宋体" w:eastAsia="宋体" w:cs="Times New Roman"/>
          <w:b/>
          <w:bCs/>
          <w:sz w:val="24"/>
        </w:rPr>
        <w:t>19.不可抗力</w:t>
      </w:r>
    </w:p>
    <w:p w14:paraId="606DEDC5">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19.1 不可抗力是指合同双方不可预见、不可避免、不可克服的自然灾害和社会事件。</w:t>
      </w:r>
    </w:p>
    <w:p w14:paraId="74478C2F">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19.2 任何一方对由于不可抗力造成的部分或全部不能履行合同不承担违约责任。但迟延履行后发生不可抗力的，不能免除责任。</w:t>
      </w:r>
    </w:p>
    <w:p w14:paraId="77D9DD4F">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19.3 遇有不可抗力的一方，应在三日内将事件的情况以书面形式通知另一方，并在事件发生后十日内，向另一方提交合同不能履行或部分不能履行或需要延期履行理由的报告。</w:t>
      </w:r>
    </w:p>
    <w:p w14:paraId="7C0C11D0">
      <w:pPr>
        <w:autoSpaceDE w:val="0"/>
        <w:autoSpaceDN w:val="0"/>
        <w:adjustRightInd w:val="0"/>
        <w:snapToGrid w:val="0"/>
        <w:spacing w:before="50" w:line="360" w:lineRule="auto"/>
        <w:jc w:val="left"/>
        <w:rPr>
          <w:rFonts w:hint="eastAsia" w:ascii="宋体" w:hAnsi="宋体" w:eastAsia="宋体" w:cs="Times New Roman"/>
          <w:b/>
          <w:bCs/>
          <w:sz w:val="24"/>
        </w:rPr>
      </w:pPr>
      <w:r>
        <w:rPr>
          <w:rFonts w:hint="eastAsia" w:ascii="宋体" w:hAnsi="宋体" w:eastAsia="宋体" w:cs="Times New Roman"/>
          <w:b/>
          <w:bCs/>
          <w:sz w:val="24"/>
        </w:rPr>
        <w:t>20.解决争议的方法</w:t>
      </w:r>
    </w:p>
    <w:p w14:paraId="76144AFA">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20.1 合同各方应通过友好协商，解决在执行合同过程中所发生的或与合同有关的一切争端。如从协商开始后十日内仍不能解决，可以向财政部门提请调解。</w:t>
      </w:r>
    </w:p>
    <w:p w14:paraId="038D40C0">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20.2 调解不成可以向甲方所在地人民法院提起诉讼。</w:t>
      </w:r>
    </w:p>
    <w:p w14:paraId="5CF9B6D4">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20.3 如诉讼事项不影响合同其它部分的履行，则在诉讼期间，除正在进行诉讼的部分外，合同的其它部分应继续执行。</w:t>
      </w:r>
    </w:p>
    <w:p w14:paraId="72E7BBE1">
      <w:pPr>
        <w:autoSpaceDE w:val="0"/>
        <w:autoSpaceDN w:val="0"/>
        <w:adjustRightInd w:val="0"/>
        <w:snapToGrid w:val="0"/>
        <w:spacing w:before="50" w:line="360" w:lineRule="auto"/>
        <w:jc w:val="left"/>
        <w:rPr>
          <w:rFonts w:hint="eastAsia" w:ascii="宋体" w:hAnsi="宋体" w:eastAsia="宋体" w:cs="Times New Roman"/>
          <w:b/>
          <w:sz w:val="24"/>
        </w:rPr>
      </w:pPr>
      <w:r>
        <w:rPr>
          <w:rFonts w:hint="eastAsia" w:ascii="宋体" w:hAnsi="宋体" w:eastAsia="宋体" w:cs="Times New Roman"/>
          <w:b/>
          <w:sz w:val="24"/>
        </w:rPr>
        <w:t>21.法律适用</w:t>
      </w:r>
    </w:p>
    <w:p w14:paraId="3F1F90E9">
      <w:pPr>
        <w:autoSpaceDE w:val="0"/>
        <w:autoSpaceDN w:val="0"/>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21.1 本合同适用中华人民共和国现行法律、行政法规和规章，如合同条款与法律、行政法规和规章不一致的，按照法律、行政法规和规章修改本合同。</w:t>
      </w:r>
    </w:p>
    <w:p w14:paraId="39072352">
      <w:pPr>
        <w:autoSpaceDE w:val="0"/>
        <w:autoSpaceDN w:val="0"/>
        <w:adjustRightInd w:val="0"/>
        <w:snapToGrid w:val="0"/>
        <w:spacing w:before="50" w:line="360" w:lineRule="auto"/>
        <w:jc w:val="left"/>
        <w:rPr>
          <w:rFonts w:hint="eastAsia" w:ascii="宋体" w:hAnsi="宋体" w:eastAsia="宋体" w:cs="Times New Roman"/>
          <w:b/>
          <w:sz w:val="24"/>
        </w:rPr>
      </w:pPr>
      <w:r>
        <w:rPr>
          <w:rFonts w:hint="eastAsia" w:ascii="宋体" w:hAnsi="宋体" w:eastAsia="宋体" w:cs="Times New Roman"/>
          <w:b/>
          <w:bCs/>
          <w:sz w:val="24"/>
        </w:rPr>
        <w:t>22.</w:t>
      </w:r>
      <w:r>
        <w:rPr>
          <w:rFonts w:hint="eastAsia" w:ascii="宋体" w:hAnsi="宋体" w:eastAsia="宋体" w:cs="Times New Roman"/>
          <w:b/>
          <w:sz w:val="24"/>
        </w:rPr>
        <w:t>通知</w:t>
      </w:r>
    </w:p>
    <w:p w14:paraId="61E2D11C">
      <w:pPr>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22.1本合同一方给另一方的通知</w:t>
      </w:r>
      <w:bookmarkStart w:id="127" w:name="_Hlk159253608"/>
      <w:r>
        <w:rPr>
          <w:rFonts w:hint="eastAsia" w:ascii="宋体" w:hAnsi="宋体" w:eastAsia="宋体" w:cs="Times New Roman"/>
          <w:szCs w:val="21"/>
        </w:rPr>
        <w:t>以及各方的文件往来及与司法机关的司法诉讼文书等</w:t>
      </w:r>
      <w:bookmarkEnd w:id="127"/>
      <w:r>
        <w:rPr>
          <w:rFonts w:hint="eastAsia" w:ascii="宋体" w:hAnsi="宋体" w:eastAsia="宋体" w:cs="Times New Roman"/>
          <w:szCs w:val="21"/>
        </w:rPr>
        <w:t>均应采用书面形式，</w:t>
      </w:r>
      <w:bookmarkStart w:id="128" w:name="_Hlk159253624"/>
      <w:r>
        <w:rPr>
          <w:rFonts w:hint="eastAsia" w:ascii="宋体" w:hAnsi="宋体" w:eastAsia="宋体" w:cs="Times New Roman"/>
          <w:szCs w:val="21"/>
        </w:rPr>
        <w:t>通知文件</w:t>
      </w:r>
      <w:bookmarkEnd w:id="128"/>
      <w:r>
        <w:rPr>
          <w:rFonts w:hint="eastAsia" w:ascii="宋体" w:hAnsi="宋体" w:eastAsia="宋体" w:cs="Times New Roman"/>
          <w:szCs w:val="21"/>
        </w:rPr>
        <w:t>送到本合同中规定的对方的地址</w:t>
      </w:r>
      <w:bookmarkStart w:id="129" w:name="_Hlk159253639"/>
      <w:r>
        <w:rPr>
          <w:rFonts w:hint="eastAsia" w:ascii="宋体" w:hAnsi="宋体" w:eastAsia="宋体" w:cs="Times New Roman"/>
          <w:szCs w:val="21"/>
        </w:rPr>
        <w:t>或联系方式上</w:t>
      </w:r>
      <w:bookmarkEnd w:id="129"/>
      <w:r>
        <w:rPr>
          <w:rFonts w:hint="eastAsia" w:ascii="宋体" w:hAnsi="宋体" w:eastAsia="宋体" w:cs="Times New Roman"/>
          <w:szCs w:val="21"/>
        </w:rPr>
        <w:t>视为送达。</w:t>
      </w:r>
      <w:bookmarkStart w:id="130" w:name="_Hlk159253652"/>
      <w:r>
        <w:rPr>
          <w:rFonts w:hint="eastAsia" w:ascii="宋体" w:hAnsi="宋体" w:eastAsia="宋体" w:cs="Times New Roman"/>
          <w:szCs w:val="21"/>
        </w:rPr>
        <w:t>联系方式发生变更的，应在变更之日起3个工作日内书面通知另一方。</w:t>
      </w:r>
    </w:p>
    <w:bookmarkEnd w:id="130"/>
    <w:p w14:paraId="557D1495">
      <w:pPr>
        <w:adjustRightInd w:val="0"/>
        <w:snapToGrid w:val="0"/>
        <w:spacing w:before="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22.2通知以送到之日或通知书中规定的生效之日起生效，两者中以较迟之日为准。</w:t>
      </w:r>
    </w:p>
    <w:p w14:paraId="3A8B8A2C">
      <w:pPr>
        <w:adjustRightInd w:val="0"/>
        <w:snapToGrid w:val="0"/>
        <w:spacing w:before="50" w:line="360" w:lineRule="auto"/>
        <w:jc w:val="left"/>
        <w:rPr>
          <w:rFonts w:hint="eastAsia" w:ascii="宋体" w:hAnsi="宋体" w:eastAsia="宋体" w:cs="Times New Roman"/>
          <w:b/>
          <w:bCs/>
          <w:sz w:val="24"/>
        </w:rPr>
      </w:pPr>
      <w:r>
        <w:rPr>
          <w:rFonts w:hint="eastAsia" w:ascii="宋体" w:hAnsi="宋体" w:eastAsia="宋体" w:cs="Times New Roman"/>
          <w:b/>
          <w:bCs/>
          <w:sz w:val="24"/>
        </w:rPr>
        <w:t>23. 合同未尽事项</w:t>
      </w:r>
    </w:p>
    <w:p w14:paraId="16407EFF">
      <w:pPr>
        <w:adjustRightInd w:val="0"/>
        <w:snapToGrid w:val="0"/>
        <w:spacing w:before="50" w:line="360" w:lineRule="auto"/>
        <w:ind w:firstLine="420" w:firstLineChars="200"/>
        <w:jc w:val="left"/>
        <w:rPr>
          <w:rFonts w:hint="eastAsia" w:ascii="宋体" w:hAnsi="宋体" w:eastAsia="宋体" w:cs="Times New Roman"/>
          <w:bCs/>
          <w:szCs w:val="21"/>
        </w:rPr>
      </w:pPr>
      <w:r>
        <w:rPr>
          <w:rFonts w:hint="eastAsia" w:ascii="宋体" w:hAnsi="宋体" w:eastAsia="宋体" w:cs="Times New Roman"/>
          <w:bCs/>
          <w:szCs w:val="21"/>
        </w:rPr>
        <w:t>23.1合同未尽事项见</w:t>
      </w:r>
      <w:r>
        <w:rPr>
          <w:rFonts w:hint="eastAsia" w:ascii="宋体" w:hAnsi="宋体" w:eastAsia="宋体" w:cs="Times New Roman"/>
          <w:b/>
          <w:szCs w:val="21"/>
        </w:rPr>
        <w:t>【政府采购合同专用条款】。</w:t>
      </w:r>
    </w:p>
    <w:p w14:paraId="4354BB47">
      <w:pPr>
        <w:adjustRightInd w:val="0"/>
        <w:snapToGrid w:val="0"/>
        <w:spacing w:before="50" w:line="360" w:lineRule="auto"/>
        <w:jc w:val="left"/>
        <w:rPr>
          <w:rFonts w:hint="eastAsia" w:ascii="宋体" w:hAnsi="宋体" w:eastAsia="宋体" w:cs="Times New Roman"/>
          <w:b/>
          <w:bCs/>
          <w:sz w:val="24"/>
        </w:rPr>
      </w:pPr>
      <w:r>
        <w:rPr>
          <w:rFonts w:hint="eastAsia" w:ascii="宋体" w:hAnsi="宋体" w:eastAsia="宋体" w:cs="Times New Roman"/>
          <w:b/>
          <w:bCs/>
          <w:sz w:val="24"/>
        </w:rPr>
        <w:t>24.合同生效</w:t>
      </w:r>
    </w:p>
    <w:p w14:paraId="24A166F0">
      <w:pPr>
        <w:autoSpaceDE w:val="0"/>
        <w:autoSpaceDN w:val="0"/>
        <w:adjustRightInd w:val="0"/>
        <w:snapToGrid w:val="0"/>
        <w:spacing w:before="50" w:line="360" w:lineRule="auto"/>
        <w:ind w:firstLine="420" w:firstLineChars="200"/>
        <w:jc w:val="left"/>
        <w:rPr>
          <w:rFonts w:hint="eastAsia" w:ascii="黑体" w:hAnsi="黑体" w:eastAsia="黑体" w:cs="Times New Roman"/>
          <w:b/>
          <w:bCs/>
          <w:sz w:val="10"/>
          <w:szCs w:val="10"/>
        </w:rPr>
      </w:pPr>
      <w:r>
        <w:rPr>
          <w:rFonts w:hint="eastAsia" w:ascii="宋体" w:hAnsi="宋体" w:eastAsia="宋体" w:cs="Times New Roman"/>
          <w:szCs w:val="21"/>
        </w:rPr>
        <w:t>24.1 本合同在合同双方签字盖章后生效。</w:t>
      </w:r>
      <w:r>
        <w:rPr>
          <w:rFonts w:ascii="黑体" w:hAnsi="黑体" w:eastAsia="黑体" w:cs="Times New Roman"/>
          <w:b/>
          <w:bCs/>
          <w:sz w:val="32"/>
        </w:rPr>
        <w:br w:type="page"/>
      </w:r>
    </w:p>
    <w:p w14:paraId="5EF6DE5A">
      <w:pPr>
        <w:keepNext/>
        <w:keepLines/>
        <w:widowControl w:val="0"/>
        <w:adjustRightInd w:val="0"/>
        <w:snapToGrid w:val="0"/>
        <w:spacing w:line="360" w:lineRule="auto"/>
        <w:jc w:val="center"/>
        <w:outlineLvl w:val="1"/>
        <w:rPr>
          <w:rFonts w:hint="eastAsia" w:ascii="黑体" w:hAnsi="华文中宋" w:eastAsia="黑体" w:cs="Times New Roman"/>
          <w:b/>
          <w:bCs/>
          <w:kern w:val="2"/>
          <w:sz w:val="28"/>
          <w:szCs w:val="28"/>
          <w:lang w:val="en-US" w:eastAsia="zh-CN" w:bidi="ar-SA"/>
        </w:rPr>
      </w:pPr>
      <w:bookmarkStart w:id="131" w:name="_Toc14411"/>
      <w:r>
        <w:rPr>
          <w:rFonts w:hint="eastAsia" w:ascii="黑体" w:hAnsi="华文中宋" w:eastAsia="黑体" w:cs="Times New Roman"/>
          <w:b/>
          <w:bCs/>
          <w:kern w:val="2"/>
          <w:sz w:val="28"/>
          <w:szCs w:val="28"/>
          <w:lang w:val="en-US" w:eastAsia="zh-CN" w:bidi="ar-SA"/>
        </w:rPr>
        <w:t>第三节 政府采购合同专用条款</w:t>
      </w:r>
      <w:bookmarkEnd w:id="131"/>
    </w:p>
    <w:p w14:paraId="3FBD0261">
      <w:pPr>
        <w:adjustRightInd w:val="0"/>
        <w:snapToGrid w:val="0"/>
        <w:spacing w:line="360" w:lineRule="auto"/>
        <w:jc w:val="center"/>
        <w:rPr>
          <w:rFonts w:hint="eastAsia" w:ascii="宋体" w:hAnsi="宋体" w:eastAsia="宋体" w:cs="Times New Roman"/>
          <w:sz w:val="24"/>
        </w:rPr>
      </w:pPr>
    </w:p>
    <w:tbl>
      <w:tblPr>
        <w:tblStyle w:val="2"/>
        <w:tblW w:w="9008"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843"/>
        <w:gridCol w:w="5464"/>
      </w:tblGrid>
      <w:tr w14:paraId="51F68D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701" w:type="dxa"/>
            <w:tcBorders>
              <w:tl2br w:val="nil"/>
              <w:tr2bl w:val="nil"/>
            </w:tcBorders>
            <w:vAlign w:val="center"/>
          </w:tcPr>
          <w:p w14:paraId="51111B5A">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本章第二节</w:t>
            </w:r>
          </w:p>
          <w:p w14:paraId="18533CEA">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第1.1款</w:t>
            </w:r>
          </w:p>
        </w:tc>
        <w:tc>
          <w:tcPr>
            <w:tcW w:w="1843" w:type="dxa"/>
            <w:tcBorders>
              <w:tl2br w:val="nil"/>
              <w:tr2bl w:val="nil"/>
            </w:tcBorders>
            <w:vAlign w:val="center"/>
          </w:tcPr>
          <w:p w14:paraId="4C54A217">
            <w:pPr>
              <w:adjustRightInd w:val="0"/>
              <w:snapToGrid w:val="0"/>
              <w:spacing w:line="360" w:lineRule="auto"/>
              <w:jc w:val="left"/>
              <w:rPr>
                <w:rFonts w:hint="eastAsia" w:ascii="宋体" w:hAnsi="宋体" w:eastAsia="宋体" w:cs="Times New Roman"/>
                <w:szCs w:val="21"/>
              </w:rPr>
            </w:pPr>
            <w:r>
              <w:rPr>
                <w:rFonts w:hint="eastAsia" w:ascii="宋体" w:hAnsi="宋体" w:eastAsia="宋体" w:cs="Times New Roman"/>
                <w:szCs w:val="21"/>
              </w:rPr>
              <w:t xml:space="preserve">甲方名称、地址 </w:t>
            </w:r>
          </w:p>
        </w:tc>
        <w:tc>
          <w:tcPr>
            <w:tcW w:w="5464" w:type="dxa"/>
            <w:tcBorders>
              <w:tl2br w:val="nil"/>
              <w:tr2bl w:val="nil"/>
            </w:tcBorders>
            <w:vAlign w:val="center"/>
          </w:tcPr>
          <w:p w14:paraId="65DB3853">
            <w:pPr>
              <w:textAlignment w:val="baseline"/>
              <w:rPr>
                <w:rFonts w:ascii="Times New Roman" w:hAnsi="Times New Roman" w:eastAsia="宋体" w:cs="Times New Roman"/>
              </w:rPr>
            </w:pPr>
            <w:r>
              <w:rPr>
                <w:rFonts w:ascii="Times New Roman" w:hAnsi="Times New Roman" w:eastAsia="宋体" w:cs="Times New Roman"/>
              </w:rPr>
              <w:t>甲方名称：</w:t>
            </w:r>
            <w:r>
              <w:rPr>
                <w:rFonts w:hint="eastAsia" w:ascii="Times New Roman" w:hAnsi="Times New Roman" w:eastAsia="宋体" w:cs="Times New Roman"/>
              </w:rPr>
              <w:t>湖南化工职业技术学院</w:t>
            </w:r>
            <w:r>
              <w:rPr>
                <w:rFonts w:ascii="Times New Roman" w:hAnsi="Times New Roman" w:eastAsia="宋体" w:cs="Times New Roman"/>
              </w:rPr>
              <w:t>；</w:t>
            </w:r>
          </w:p>
          <w:p w14:paraId="260CBE8A">
            <w:pPr>
              <w:textAlignment w:val="baseline"/>
              <w:rPr>
                <w:rFonts w:hint="eastAsia" w:ascii="宋体" w:hAnsi="宋体" w:eastAsia="宋体" w:cs="Times New Roman"/>
                <w:szCs w:val="21"/>
              </w:rPr>
            </w:pPr>
            <w:r>
              <w:rPr>
                <w:rFonts w:ascii="Times New Roman" w:hAnsi="Times New Roman" w:eastAsia="宋体" w:cs="Times New Roman"/>
              </w:rPr>
              <w:t>地    址：</w:t>
            </w:r>
            <w:r>
              <w:rPr>
                <w:rFonts w:hint="eastAsia" w:ascii="宋体" w:hAnsi="宋体" w:eastAsia="宋体" w:cs="Times New Roman"/>
                <w:szCs w:val="21"/>
              </w:rPr>
              <w:t>株洲市云龙职教城智慧大道1号</w:t>
            </w:r>
            <w:r>
              <w:rPr>
                <w:rFonts w:ascii="Times New Roman" w:hAnsi="Times New Roman" w:eastAsia="宋体" w:cs="Times New Roman"/>
              </w:rPr>
              <w:t>。</w:t>
            </w:r>
          </w:p>
        </w:tc>
      </w:tr>
      <w:tr w14:paraId="53CB9E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701" w:type="dxa"/>
            <w:tcBorders>
              <w:tl2br w:val="nil"/>
              <w:tr2bl w:val="nil"/>
            </w:tcBorders>
            <w:vAlign w:val="center"/>
          </w:tcPr>
          <w:p w14:paraId="7AA5DBA5">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本章第二节</w:t>
            </w:r>
          </w:p>
          <w:p w14:paraId="47E832D1">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第1.2（6）项</w:t>
            </w:r>
          </w:p>
        </w:tc>
        <w:tc>
          <w:tcPr>
            <w:tcW w:w="1843" w:type="dxa"/>
            <w:tcBorders>
              <w:tl2br w:val="nil"/>
              <w:tr2bl w:val="nil"/>
            </w:tcBorders>
            <w:vAlign w:val="center"/>
          </w:tcPr>
          <w:p w14:paraId="31F248BA">
            <w:pPr>
              <w:adjustRightInd w:val="0"/>
              <w:snapToGrid w:val="0"/>
              <w:spacing w:line="360" w:lineRule="auto"/>
              <w:jc w:val="left"/>
              <w:rPr>
                <w:rFonts w:hint="eastAsia" w:ascii="宋体" w:hAnsi="宋体" w:eastAsia="宋体" w:cs="Times New Roman"/>
                <w:szCs w:val="21"/>
              </w:rPr>
            </w:pPr>
            <w:r>
              <w:rPr>
                <w:rFonts w:hint="eastAsia" w:ascii="宋体" w:hAnsi="宋体" w:eastAsia="宋体" w:cs="Times New Roman"/>
                <w:szCs w:val="21"/>
              </w:rPr>
              <w:t>项目现场</w:t>
            </w:r>
          </w:p>
        </w:tc>
        <w:tc>
          <w:tcPr>
            <w:tcW w:w="5464" w:type="dxa"/>
            <w:tcBorders>
              <w:tl2br w:val="nil"/>
              <w:tr2bl w:val="nil"/>
            </w:tcBorders>
            <w:vAlign w:val="center"/>
          </w:tcPr>
          <w:p w14:paraId="36DCE861">
            <w:pPr>
              <w:snapToGrid w:val="0"/>
              <w:jc w:val="left"/>
              <w:textAlignment w:val="baseline"/>
              <w:rPr>
                <w:rFonts w:hint="eastAsia" w:ascii="宋体" w:hAnsi="宋体" w:eastAsia="宋体" w:cs="Times New Roman"/>
                <w:szCs w:val="21"/>
              </w:rPr>
            </w:pPr>
            <w:r>
              <w:rPr>
                <w:rFonts w:ascii="宋体" w:hAnsi="宋体" w:eastAsia="宋体" w:cs="Times New Roman"/>
                <w:szCs w:val="21"/>
              </w:rPr>
              <w:t>甲方指定交付地点。</w:t>
            </w:r>
          </w:p>
        </w:tc>
      </w:tr>
      <w:tr w14:paraId="7CA129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701" w:type="dxa"/>
            <w:tcBorders>
              <w:tl2br w:val="nil"/>
              <w:tr2bl w:val="nil"/>
            </w:tcBorders>
            <w:vAlign w:val="center"/>
          </w:tcPr>
          <w:p w14:paraId="45978526">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本章第二节</w:t>
            </w:r>
          </w:p>
          <w:p w14:paraId="60DBCD82">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第5.1款</w:t>
            </w:r>
          </w:p>
        </w:tc>
        <w:tc>
          <w:tcPr>
            <w:tcW w:w="1843" w:type="dxa"/>
            <w:tcBorders>
              <w:tl2br w:val="nil"/>
              <w:tr2bl w:val="nil"/>
            </w:tcBorders>
            <w:vAlign w:val="center"/>
          </w:tcPr>
          <w:p w14:paraId="6B67D1BC">
            <w:pPr>
              <w:adjustRightInd w:val="0"/>
              <w:snapToGrid w:val="0"/>
              <w:spacing w:line="360" w:lineRule="auto"/>
              <w:jc w:val="left"/>
              <w:rPr>
                <w:rFonts w:hint="eastAsia" w:ascii="宋体" w:hAnsi="宋体" w:eastAsia="宋体" w:cs="Times New Roman"/>
                <w:szCs w:val="21"/>
              </w:rPr>
            </w:pPr>
            <w:r>
              <w:rPr>
                <w:rFonts w:hint="eastAsia" w:ascii="宋体" w:hAnsi="宋体" w:eastAsia="宋体" w:cs="Times New Roman"/>
                <w:szCs w:val="21"/>
              </w:rPr>
              <w:t>履行合同的时间、地点及方式</w:t>
            </w:r>
          </w:p>
        </w:tc>
        <w:tc>
          <w:tcPr>
            <w:tcW w:w="5464" w:type="dxa"/>
            <w:tcBorders>
              <w:tl2br w:val="nil"/>
              <w:tr2bl w:val="nil"/>
            </w:tcBorders>
            <w:vAlign w:val="center"/>
          </w:tcPr>
          <w:p w14:paraId="08E60D84">
            <w:pPr>
              <w:snapToGrid w:val="0"/>
              <w:jc w:val="left"/>
              <w:textAlignment w:val="baseline"/>
              <w:rPr>
                <w:rFonts w:hint="eastAsia" w:ascii="宋体" w:hAnsi="宋体" w:eastAsia="宋体" w:cs="Times New Roman"/>
                <w:szCs w:val="21"/>
              </w:rPr>
            </w:pPr>
            <w:r>
              <w:rPr>
                <w:rFonts w:ascii="Times New Roman" w:hAnsi="Times New Roman" w:eastAsia="宋体" w:cs="Times New Roman"/>
              </w:rPr>
              <w:t>详见第五章采购需求。</w:t>
            </w:r>
          </w:p>
        </w:tc>
      </w:tr>
      <w:tr w14:paraId="208A50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701" w:type="dxa"/>
            <w:tcBorders>
              <w:tl2br w:val="nil"/>
              <w:tr2bl w:val="nil"/>
            </w:tcBorders>
            <w:vAlign w:val="center"/>
          </w:tcPr>
          <w:p w14:paraId="4DD2C3BD">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本章第二节</w:t>
            </w:r>
          </w:p>
          <w:p w14:paraId="29AC04B3">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第9.2（1）项</w:t>
            </w:r>
          </w:p>
        </w:tc>
        <w:tc>
          <w:tcPr>
            <w:tcW w:w="1843" w:type="dxa"/>
            <w:tcBorders>
              <w:tl2br w:val="nil"/>
              <w:tr2bl w:val="nil"/>
            </w:tcBorders>
            <w:vAlign w:val="center"/>
          </w:tcPr>
          <w:p w14:paraId="473D151A">
            <w:pPr>
              <w:adjustRightInd w:val="0"/>
              <w:snapToGrid w:val="0"/>
              <w:spacing w:line="360" w:lineRule="auto"/>
              <w:jc w:val="left"/>
              <w:rPr>
                <w:rFonts w:hint="eastAsia" w:ascii="宋体" w:hAnsi="宋体" w:eastAsia="宋体" w:cs="Times New Roman"/>
                <w:szCs w:val="21"/>
              </w:rPr>
            </w:pPr>
            <w:r>
              <w:rPr>
                <w:rFonts w:hint="eastAsia" w:ascii="宋体" w:hAnsi="宋体" w:eastAsia="宋体" w:cs="Times New Roman"/>
                <w:szCs w:val="21"/>
              </w:rPr>
              <w:t>质量保证期</w:t>
            </w:r>
          </w:p>
        </w:tc>
        <w:tc>
          <w:tcPr>
            <w:tcW w:w="5464" w:type="dxa"/>
            <w:tcBorders>
              <w:tl2br w:val="nil"/>
              <w:tr2bl w:val="nil"/>
            </w:tcBorders>
            <w:vAlign w:val="center"/>
          </w:tcPr>
          <w:p w14:paraId="0D5F6AA1">
            <w:pPr>
              <w:textAlignment w:val="baseline"/>
              <w:rPr>
                <w:rFonts w:hint="eastAsia" w:ascii="宋体" w:hAnsi="宋体" w:eastAsia="宋体" w:cs="Times New Roman"/>
                <w:szCs w:val="21"/>
              </w:rPr>
            </w:pPr>
            <w:r>
              <w:rPr>
                <w:rFonts w:ascii="Times New Roman" w:hAnsi="Times New Roman" w:eastAsia="宋体" w:cs="Times New Roman"/>
              </w:rPr>
              <w:t>详见第五章采购需求。</w:t>
            </w:r>
          </w:p>
        </w:tc>
      </w:tr>
      <w:tr w14:paraId="600828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701" w:type="dxa"/>
            <w:tcBorders>
              <w:tl2br w:val="nil"/>
              <w:tr2bl w:val="nil"/>
            </w:tcBorders>
            <w:vAlign w:val="center"/>
          </w:tcPr>
          <w:p w14:paraId="75392019">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本章第二节</w:t>
            </w:r>
          </w:p>
          <w:p w14:paraId="2B916102">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第9.2（3）项</w:t>
            </w:r>
          </w:p>
        </w:tc>
        <w:tc>
          <w:tcPr>
            <w:tcW w:w="1843" w:type="dxa"/>
            <w:tcBorders>
              <w:tl2br w:val="nil"/>
              <w:tr2bl w:val="nil"/>
            </w:tcBorders>
            <w:vAlign w:val="center"/>
          </w:tcPr>
          <w:p w14:paraId="0343625F">
            <w:pPr>
              <w:adjustRightInd w:val="0"/>
              <w:snapToGrid w:val="0"/>
              <w:spacing w:line="360" w:lineRule="auto"/>
              <w:jc w:val="left"/>
              <w:rPr>
                <w:rFonts w:hint="eastAsia" w:ascii="宋体" w:hAnsi="宋体" w:eastAsia="宋体" w:cs="Times New Roman"/>
                <w:szCs w:val="21"/>
              </w:rPr>
            </w:pPr>
            <w:r>
              <w:rPr>
                <w:rFonts w:hint="eastAsia" w:ascii="宋体" w:hAnsi="宋体" w:eastAsia="宋体" w:cs="Times New Roman"/>
                <w:szCs w:val="21"/>
              </w:rPr>
              <w:t>响应时间</w:t>
            </w:r>
          </w:p>
        </w:tc>
        <w:tc>
          <w:tcPr>
            <w:tcW w:w="5464" w:type="dxa"/>
            <w:tcBorders>
              <w:tl2br w:val="nil"/>
              <w:tr2bl w:val="nil"/>
            </w:tcBorders>
            <w:vAlign w:val="center"/>
          </w:tcPr>
          <w:p w14:paraId="4B21856B">
            <w:pPr>
              <w:textAlignment w:val="baseline"/>
              <w:rPr>
                <w:rFonts w:hint="eastAsia" w:ascii="宋体" w:hAnsi="宋体" w:eastAsia="宋体" w:cs="Times New Roman"/>
                <w:szCs w:val="21"/>
              </w:rPr>
            </w:pPr>
            <w:r>
              <w:rPr>
                <w:rFonts w:ascii="Times New Roman" w:hAnsi="Times New Roman" w:eastAsia="宋体" w:cs="Times New Roman"/>
              </w:rPr>
              <w:t>详见第五章采购需求。</w:t>
            </w:r>
          </w:p>
        </w:tc>
      </w:tr>
      <w:tr w14:paraId="2D988E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7" w:hRule="atLeast"/>
        </w:trPr>
        <w:tc>
          <w:tcPr>
            <w:tcW w:w="1701" w:type="dxa"/>
            <w:tcBorders>
              <w:tl2br w:val="nil"/>
              <w:tr2bl w:val="nil"/>
            </w:tcBorders>
            <w:vAlign w:val="center"/>
          </w:tcPr>
          <w:p w14:paraId="34058931">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本章第二节</w:t>
            </w:r>
          </w:p>
          <w:p w14:paraId="536CF178">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第13.5款</w:t>
            </w:r>
          </w:p>
        </w:tc>
        <w:tc>
          <w:tcPr>
            <w:tcW w:w="1843" w:type="dxa"/>
            <w:tcBorders>
              <w:tl2br w:val="nil"/>
              <w:tr2bl w:val="nil"/>
            </w:tcBorders>
            <w:vAlign w:val="center"/>
          </w:tcPr>
          <w:p w14:paraId="15786C2D">
            <w:pPr>
              <w:adjustRightInd w:val="0"/>
              <w:snapToGrid w:val="0"/>
              <w:spacing w:line="360" w:lineRule="auto"/>
              <w:jc w:val="left"/>
              <w:rPr>
                <w:rFonts w:hint="eastAsia" w:ascii="宋体" w:hAnsi="宋体" w:eastAsia="宋体" w:cs="Times New Roman"/>
                <w:szCs w:val="21"/>
              </w:rPr>
            </w:pPr>
            <w:r>
              <w:rPr>
                <w:rFonts w:hint="eastAsia" w:ascii="宋体" w:hAnsi="宋体" w:eastAsia="宋体" w:cs="Times New Roman"/>
                <w:szCs w:val="21"/>
              </w:rPr>
              <w:t>合同价款支付方式</w:t>
            </w:r>
            <w:r>
              <w:rPr>
                <w:rFonts w:hint="eastAsia" w:ascii="宋体" w:hAnsi="宋体" w:eastAsia="宋体" w:cs="Times New Roman"/>
                <w:bCs/>
                <w:szCs w:val="21"/>
              </w:rPr>
              <w:t>和条件</w:t>
            </w:r>
          </w:p>
        </w:tc>
        <w:tc>
          <w:tcPr>
            <w:tcW w:w="5464" w:type="dxa"/>
            <w:tcBorders>
              <w:tl2br w:val="nil"/>
              <w:tr2bl w:val="nil"/>
            </w:tcBorders>
            <w:vAlign w:val="center"/>
          </w:tcPr>
          <w:p w14:paraId="47DABD2F">
            <w:pPr>
              <w:adjustRightInd w:val="0"/>
              <w:snapToGrid w:val="0"/>
              <w:spacing w:line="440" w:lineRule="exact"/>
              <w:rPr>
                <w:rFonts w:hint="eastAsia" w:ascii="宋体" w:hAnsi="宋体" w:eastAsia="宋体" w:cs="Times New Roman"/>
                <w:szCs w:val="21"/>
              </w:rPr>
            </w:pPr>
            <w:r>
              <w:rPr>
                <w:rFonts w:ascii="Times New Roman" w:hAnsi="Times New Roman" w:eastAsia="宋体" w:cs="Times New Roman"/>
              </w:rPr>
              <w:t>详见第五章采购需求。</w:t>
            </w:r>
          </w:p>
        </w:tc>
      </w:tr>
      <w:tr w14:paraId="5FA651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701" w:type="dxa"/>
            <w:tcBorders>
              <w:tl2br w:val="nil"/>
              <w:tr2bl w:val="nil"/>
            </w:tcBorders>
            <w:vAlign w:val="center"/>
          </w:tcPr>
          <w:p w14:paraId="50AB9A21">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本章第二节</w:t>
            </w:r>
          </w:p>
          <w:p w14:paraId="6244B249">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第14.2（6）项</w:t>
            </w:r>
          </w:p>
        </w:tc>
        <w:tc>
          <w:tcPr>
            <w:tcW w:w="1843" w:type="dxa"/>
            <w:tcBorders>
              <w:tl2br w:val="nil"/>
              <w:tr2bl w:val="nil"/>
            </w:tcBorders>
            <w:vAlign w:val="center"/>
          </w:tcPr>
          <w:p w14:paraId="0078939C">
            <w:pPr>
              <w:adjustRightInd w:val="0"/>
              <w:snapToGrid w:val="0"/>
              <w:spacing w:line="360" w:lineRule="auto"/>
              <w:jc w:val="left"/>
              <w:rPr>
                <w:rFonts w:hint="eastAsia" w:ascii="宋体" w:hAnsi="宋体" w:eastAsia="宋体" w:cs="Times New Roman"/>
                <w:szCs w:val="21"/>
              </w:rPr>
            </w:pPr>
            <w:r>
              <w:rPr>
                <w:rFonts w:hint="eastAsia" w:ascii="宋体" w:hAnsi="宋体" w:eastAsia="宋体" w:cs="Times New Roman"/>
                <w:szCs w:val="21"/>
              </w:rPr>
              <w:t>乙方提供的其他服务</w:t>
            </w:r>
          </w:p>
        </w:tc>
        <w:tc>
          <w:tcPr>
            <w:tcW w:w="5464" w:type="dxa"/>
            <w:tcBorders>
              <w:tl2br w:val="nil"/>
              <w:tr2bl w:val="nil"/>
            </w:tcBorders>
            <w:vAlign w:val="center"/>
          </w:tcPr>
          <w:p w14:paraId="2CC3692B">
            <w:pPr>
              <w:adjustRightInd w:val="0"/>
              <w:snapToGrid w:val="0"/>
              <w:spacing w:line="360" w:lineRule="auto"/>
              <w:jc w:val="left"/>
              <w:rPr>
                <w:rFonts w:hint="eastAsia" w:ascii="宋体" w:hAnsi="宋体" w:eastAsia="宋体" w:cs="Times New Roman"/>
                <w:szCs w:val="21"/>
              </w:rPr>
            </w:pPr>
            <w:r>
              <w:rPr>
                <w:rFonts w:hint="eastAsia" w:ascii="宋体" w:hAnsi="宋体" w:eastAsia="宋体" w:cs="Times New Roman"/>
                <w:szCs w:val="21"/>
                <w:u w:val="single"/>
              </w:rPr>
              <w:t xml:space="preserve">     /         </w:t>
            </w:r>
            <w:r>
              <w:rPr>
                <w:rFonts w:hint="eastAsia" w:ascii="宋体" w:hAnsi="宋体" w:eastAsia="宋体" w:cs="Times New Roman"/>
                <w:szCs w:val="21"/>
              </w:rPr>
              <w:t>，或第五章采购需求。</w:t>
            </w:r>
          </w:p>
        </w:tc>
      </w:tr>
      <w:tr w14:paraId="795A15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701" w:type="dxa"/>
            <w:tcBorders>
              <w:tl2br w:val="nil"/>
              <w:tr2bl w:val="nil"/>
            </w:tcBorders>
            <w:vAlign w:val="center"/>
          </w:tcPr>
          <w:p w14:paraId="0A921175">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本章第二节</w:t>
            </w:r>
          </w:p>
          <w:p w14:paraId="20B45EDE">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第23.1款</w:t>
            </w:r>
          </w:p>
        </w:tc>
        <w:tc>
          <w:tcPr>
            <w:tcW w:w="1843" w:type="dxa"/>
            <w:tcBorders>
              <w:tl2br w:val="nil"/>
              <w:tr2bl w:val="nil"/>
            </w:tcBorders>
            <w:vAlign w:val="center"/>
          </w:tcPr>
          <w:p w14:paraId="42A82851">
            <w:pPr>
              <w:adjustRightInd w:val="0"/>
              <w:snapToGrid w:val="0"/>
              <w:spacing w:line="360" w:lineRule="auto"/>
              <w:jc w:val="left"/>
              <w:rPr>
                <w:rFonts w:hint="eastAsia" w:ascii="宋体" w:hAnsi="宋体" w:eastAsia="宋体" w:cs="Times New Roman"/>
                <w:szCs w:val="21"/>
              </w:rPr>
            </w:pPr>
            <w:r>
              <w:rPr>
                <w:rFonts w:hint="eastAsia" w:ascii="宋体" w:hAnsi="宋体" w:eastAsia="宋体" w:cs="Times New Roman"/>
                <w:bCs/>
                <w:szCs w:val="21"/>
              </w:rPr>
              <w:t>合同未尽事项</w:t>
            </w:r>
          </w:p>
        </w:tc>
        <w:tc>
          <w:tcPr>
            <w:tcW w:w="5464" w:type="dxa"/>
            <w:tcBorders>
              <w:tl2br w:val="nil"/>
              <w:tr2bl w:val="nil"/>
            </w:tcBorders>
            <w:vAlign w:val="center"/>
          </w:tcPr>
          <w:p w14:paraId="481F71B5">
            <w:pPr>
              <w:adjustRightInd w:val="0"/>
              <w:snapToGrid w:val="0"/>
              <w:spacing w:line="360" w:lineRule="auto"/>
              <w:jc w:val="left"/>
              <w:rPr>
                <w:rFonts w:hint="eastAsia" w:ascii="宋体" w:hAnsi="宋体" w:eastAsia="宋体" w:cs="Times New Roman"/>
                <w:szCs w:val="21"/>
              </w:rPr>
            </w:pPr>
            <w:r>
              <w:rPr>
                <w:rFonts w:ascii="宋体" w:hAnsi="宋体" w:eastAsia="宋体" w:cs="Times New Roman"/>
                <w:szCs w:val="21"/>
              </w:rPr>
              <w:t>双方协商解决</w:t>
            </w:r>
            <w:r>
              <w:rPr>
                <w:rFonts w:hint="eastAsia" w:ascii="宋体" w:hAnsi="宋体" w:eastAsia="宋体" w:cs="Times New Roman"/>
                <w:szCs w:val="21"/>
              </w:rPr>
              <w:t>。</w:t>
            </w:r>
          </w:p>
        </w:tc>
      </w:tr>
    </w:tbl>
    <w:p w14:paraId="0FE96DCE">
      <w:pPr>
        <w:widowControl w:val="0"/>
        <w:adjustRightInd w:val="0"/>
        <w:snapToGrid w:val="0"/>
        <w:spacing w:line="360" w:lineRule="auto"/>
        <w:jc w:val="center"/>
        <w:outlineLvl w:val="0"/>
        <w:rPr>
          <w:rFonts w:hint="eastAsia" w:ascii="宋体" w:hAnsi="宋体" w:eastAsia="宋体" w:cs="宋体"/>
          <w:b/>
          <w:bCs/>
          <w:kern w:val="2"/>
          <w:sz w:val="32"/>
          <w:szCs w:val="21"/>
          <w:lang w:val="en-US" w:eastAsia="zh-CN" w:bidi="ar-SA"/>
        </w:rPr>
      </w:pPr>
      <w:r>
        <w:rPr>
          <w:rFonts w:ascii="宋体" w:hAnsi="宋体" w:eastAsia="宋体" w:cs="Courier New"/>
          <w:b/>
          <w:bCs/>
          <w:kern w:val="2"/>
          <w:sz w:val="52"/>
          <w:szCs w:val="30"/>
          <w:lang w:val="en-US" w:eastAsia="zh-CN" w:bidi="ar-SA"/>
        </w:rPr>
        <w:br w:type="page"/>
      </w:r>
      <w:r>
        <w:rPr>
          <w:rFonts w:hint="eastAsia" w:ascii="宋体" w:hAnsi="宋体" w:eastAsia="宋体" w:cs="宋体"/>
          <w:b/>
          <w:bCs/>
          <w:kern w:val="2"/>
          <w:sz w:val="32"/>
          <w:szCs w:val="32"/>
          <w:lang w:val="en-US" w:eastAsia="zh-CN" w:bidi="ar-SA"/>
        </w:rPr>
        <w:t>第七章 投标文件的组成</w:t>
      </w:r>
      <w:bookmarkEnd w:id="123"/>
    </w:p>
    <w:p w14:paraId="075137BB">
      <w:pPr>
        <w:adjustRightInd w:val="0"/>
        <w:snapToGrid w:val="0"/>
        <w:spacing w:before="161" w:beforeLines="50"/>
        <w:ind w:firstLine="422" w:firstLineChars="200"/>
        <w:rPr>
          <w:rFonts w:hint="eastAsia" w:ascii="宋体" w:hAnsi="宋体" w:eastAsia="宋体" w:cs="宋体"/>
          <w:b/>
          <w:szCs w:val="21"/>
        </w:rPr>
      </w:pPr>
      <w:r>
        <w:rPr>
          <w:rFonts w:hint="eastAsia" w:ascii="宋体" w:hAnsi="宋体" w:eastAsia="宋体" w:cs="宋体"/>
          <w:b/>
          <w:szCs w:val="21"/>
        </w:rPr>
        <w:t>第一部分 资格证明文件</w:t>
      </w:r>
    </w:p>
    <w:p w14:paraId="515908DE">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资格证明文件封面</w:t>
      </w:r>
    </w:p>
    <w:p w14:paraId="09308FE8">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一、资格证明材料</w:t>
      </w:r>
    </w:p>
    <w:p w14:paraId="2F703E71">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（一）开标一览表</w:t>
      </w:r>
    </w:p>
    <w:p w14:paraId="27B79BA3">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（二）投标保证金</w:t>
      </w:r>
    </w:p>
    <w:p w14:paraId="3D425E83">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（三）法定代表人（单位负责人）身份证明或授权委托书</w:t>
      </w:r>
    </w:p>
    <w:p w14:paraId="729EBF15">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（四）投标人具备投标资格的证明文件</w:t>
      </w:r>
    </w:p>
    <w:p w14:paraId="6A70BFE7">
      <w:pPr>
        <w:adjustRightInd w:val="0"/>
        <w:snapToGrid w:val="0"/>
        <w:spacing w:before="161" w:beforeLines="50"/>
        <w:ind w:firstLine="422" w:firstLineChars="200"/>
        <w:rPr>
          <w:rFonts w:hint="eastAsia" w:ascii="宋体" w:hAnsi="宋体" w:eastAsia="宋体" w:cs="宋体"/>
          <w:b/>
          <w:szCs w:val="21"/>
        </w:rPr>
      </w:pPr>
      <w:r>
        <w:rPr>
          <w:rFonts w:hint="eastAsia" w:ascii="宋体" w:hAnsi="宋体" w:eastAsia="宋体" w:cs="宋体"/>
          <w:b/>
          <w:szCs w:val="21"/>
        </w:rPr>
        <w:t>第二部分 商务文件</w:t>
      </w:r>
    </w:p>
    <w:p w14:paraId="31686E41">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商务文件封面</w:t>
      </w:r>
    </w:p>
    <w:p w14:paraId="1EED9102">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二、投标函</w:t>
      </w:r>
    </w:p>
    <w:p w14:paraId="598499E6">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三、开标一览表</w:t>
      </w:r>
    </w:p>
    <w:p w14:paraId="10F35474">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四、分项价格表</w:t>
      </w:r>
    </w:p>
    <w:p w14:paraId="78C89B5C">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五、中小企业声明函</w:t>
      </w:r>
    </w:p>
    <w:p w14:paraId="070F28A9">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六、残疾人福利性单位声明函</w:t>
      </w:r>
    </w:p>
    <w:p w14:paraId="548891CA">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lang w:val="en-US" w:eastAsia="zh-CN"/>
        </w:rPr>
        <w:t>七</w:t>
      </w:r>
      <w:r>
        <w:rPr>
          <w:rFonts w:hint="eastAsia" w:ascii="宋体" w:hAnsi="宋体" w:eastAsia="宋体" w:cs="宋体"/>
          <w:szCs w:val="21"/>
        </w:rPr>
        <w:t>、售后服务</w:t>
      </w:r>
    </w:p>
    <w:p w14:paraId="6D5F0F86">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lang w:val="en-US" w:eastAsia="zh-CN"/>
        </w:rPr>
        <w:t>八</w:t>
      </w:r>
      <w:r>
        <w:rPr>
          <w:rFonts w:hint="eastAsia" w:ascii="宋体" w:hAnsi="宋体" w:eastAsia="宋体" w:cs="宋体"/>
          <w:szCs w:val="21"/>
        </w:rPr>
        <w:t>、类似经验</w:t>
      </w:r>
    </w:p>
    <w:p w14:paraId="408818E9">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lang w:val="en-US" w:eastAsia="zh-CN"/>
        </w:rPr>
        <w:t>九</w:t>
      </w:r>
      <w:r>
        <w:rPr>
          <w:rFonts w:hint="eastAsia" w:ascii="宋体" w:hAnsi="宋体" w:eastAsia="宋体" w:cs="宋体"/>
          <w:szCs w:val="21"/>
        </w:rPr>
        <w:t>、质保承诺</w:t>
      </w:r>
    </w:p>
    <w:p w14:paraId="7A34BF1C">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十、投标人认为需要提供的其他资料</w:t>
      </w:r>
    </w:p>
    <w:p w14:paraId="184BEEDD">
      <w:pPr>
        <w:adjustRightInd w:val="0"/>
        <w:snapToGrid w:val="0"/>
        <w:spacing w:before="161" w:beforeLines="50"/>
        <w:ind w:firstLine="422" w:firstLineChars="200"/>
        <w:rPr>
          <w:rFonts w:hint="eastAsia" w:ascii="宋体" w:hAnsi="宋体" w:eastAsia="宋体" w:cs="宋体"/>
          <w:b/>
          <w:szCs w:val="21"/>
        </w:rPr>
      </w:pPr>
      <w:r>
        <w:rPr>
          <w:rFonts w:hint="eastAsia" w:ascii="宋体" w:hAnsi="宋体" w:eastAsia="宋体" w:cs="宋体"/>
          <w:b/>
          <w:szCs w:val="21"/>
        </w:rPr>
        <w:t>第三部分 技术文件</w:t>
      </w:r>
    </w:p>
    <w:p w14:paraId="094853A1">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技术文件封面</w:t>
      </w:r>
    </w:p>
    <w:p w14:paraId="411BE061">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十</w:t>
      </w:r>
      <w:r>
        <w:rPr>
          <w:rFonts w:hint="eastAsia" w:ascii="宋体" w:hAnsi="宋体" w:eastAsia="宋体" w:cs="宋体"/>
          <w:szCs w:val="21"/>
          <w:lang w:val="en-US" w:eastAsia="zh-CN"/>
        </w:rPr>
        <w:t>一</w:t>
      </w:r>
      <w:r>
        <w:rPr>
          <w:rFonts w:hint="eastAsia" w:ascii="宋体" w:hAnsi="宋体" w:eastAsia="宋体" w:cs="宋体"/>
          <w:szCs w:val="21"/>
        </w:rPr>
        <w:t>、货物说明一览表</w:t>
      </w:r>
    </w:p>
    <w:p w14:paraId="38CECF3F">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十</w:t>
      </w:r>
      <w:r>
        <w:rPr>
          <w:rFonts w:hint="eastAsia" w:ascii="宋体" w:hAnsi="宋体" w:eastAsia="宋体" w:cs="宋体"/>
          <w:szCs w:val="21"/>
          <w:lang w:val="en-US" w:eastAsia="zh-CN"/>
        </w:rPr>
        <w:t>二</w:t>
      </w:r>
      <w:r>
        <w:rPr>
          <w:rFonts w:hint="eastAsia" w:ascii="宋体" w:hAnsi="宋体" w:eastAsia="宋体" w:cs="宋体"/>
          <w:szCs w:val="21"/>
        </w:rPr>
        <w:t>、响应偏离表</w:t>
      </w:r>
    </w:p>
    <w:p w14:paraId="72CDEDF1">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十</w:t>
      </w:r>
      <w:r>
        <w:rPr>
          <w:rFonts w:hint="eastAsia" w:ascii="宋体" w:hAnsi="宋体" w:eastAsia="宋体" w:cs="宋体"/>
          <w:szCs w:val="21"/>
          <w:lang w:val="en-US" w:eastAsia="zh-CN"/>
        </w:rPr>
        <w:t>三</w:t>
      </w:r>
      <w:r>
        <w:rPr>
          <w:rFonts w:hint="eastAsia" w:ascii="宋体" w:hAnsi="宋体" w:eastAsia="宋体" w:cs="宋体"/>
          <w:szCs w:val="21"/>
        </w:rPr>
        <w:t>、投标货物符合招标文件规定的证明文件</w:t>
      </w:r>
    </w:p>
    <w:p w14:paraId="6BD13081">
      <w:pPr>
        <w:adjustRightInd w:val="0"/>
        <w:snapToGrid w:val="0"/>
        <w:spacing w:before="161" w:beforeLines="50"/>
        <w:ind w:firstLine="630" w:firstLineChars="300"/>
        <w:rPr>
          <w:rFonts w:hint="default" w:ascii="宋体" w:hAnsi="宋体" w:eastAsia="宋体" w:cs="宋体"/>
          <w:szCs w:val="21"/>
          <w:lang w:val="en-US" w:eastAsia="zh-CN"/>
        </w:rPr>
      </w:pPr>
      <w:r>
        <w:rPr>
          <w:rFonts w:hint="eastAsia" w:ascii="宋体" w:hAnsi="宋体" w:eastAsia="宋体" w:cs="宋体"/>
          <w:szCs w:val="21"/>
          <w:lang w:val="en-US" w:eastAsia="zh-CN"/>
        </w:rPr>
        <w:t>十四、技术参数响应</w:t>
      </w:r>
    </w:p>
    <w:p w14:paraId="211C45EA">
      <w:pPr>
        <w:adjustRightInd w:val="0"/>
        <w:snapToGrid w:val="0"/>
        <w:spacing w:before="161" w:beforeLines="50"/>
        <w:ind w:firstLine="630" w:firstLineChars="300"/>
        <w:rPr>
          <w:rFonts w:hint="eastAsia" w:ascii="宋体" w:hAnsi="宋体" w:eastAsia="宋体" w:cs="宋体"/>
          <w:szCs w:val="21"/>
        </w:rPr>
      </w:pPr>
      <w:r>
        <w:rPr>
          <w:rFonts w:hint="eastAsia" w:ascii="宋体" w:hAnsi="宋体" w:eastAsia="宋体" w:cs="宋体"/>
          <w:szCs w:val="21"/>
        </w:rPr>
        <w:t>十</w:t>
      </w:r>
      <w:r>
        <w:rPr>
          <w:rFonts w:hint="eastAsia" w:ascii="宋体" w:hAnsi="宋体" w:eastAsia="宋体" w:cs="宋体"/>
          <w:szCs w:val="21"/>
          <w:lang w:val="en-US" w:eastAsia="zh-CN"/>
        </w:rPr>
        <w:t>五</w:t>
      </w:r>
      <w:r>
        <w:rPr>
          <w:rFonts w:hint="eastAsia" w:ascii="宋体" w:hAnsi="宋体" w:eastAsia="宋体" w:cs="宋体"/>
          <w:szCs w:val="21"/>
        </w:rPr>
        <w:t>、项目实施方案</w:t>
      </w:r>
    </w:p>
    <w:p w14:paraId="39BC8F50">
      <w:pPr>
        <w:adjustRightInd w:val="0"/>
        <w:snapToGrid w:val="0"/>
        <w:spacing w:before="161" w:beforeLines="50"/>
        <w:ind w:firstLine="630" w:firstLineChars="300"/>
        <w:rPr>
          <w:rFonts w:hint="eastAsia" w:ascii="宋体" w:hAnsi="宋体" w:eastAsia="宋体" w:cs="宋体"/>
          <w:szCs w:val="21"/>
          <w:lang w:val="en-US" w:eastAsia="zh-CN"/>
        </w:rPr>
      </w:pPr>
      <w:r>
        <w:rPr>
          <w:rFonts w:hint="eastAsia" w:ascii="宋体" w:hAnsi="宋体" w:eastAsia="宋体" w:cs="宋体"/>
          <w:szCs w:val="21"/>
          <w:lang w:val="en-US" w:eastAsia="zh-CN"/>
        </w:rPr>
        <w:t>十六、培训方案</w:t>
      </w:r>
    </w:p>
    <w:p w14:paraId="0A566202">
      <w:pPr>
        <w:rPr>
          <w:rFonts w:hint="eastAsia" w:ascii="宋体" w:hAnsi="宋体" w:eastAsia="宋体" w:cs="宋体"/>
          <w:szCs w:val="21"/>
        </w:rPr>
      </w:pPr>
      <w:r>
        <w:rPr>
          <w:rFonts w:hint="eastAsia" w:ascii="宋体" w:hAnsi="宋体" w:eastAsia="宋体" w:cs="宋体"/>
          <w:szCs w:val="21"/>
        </w:rPr>
        <w:br w:type="page"/>
      </w:r>
    </w:p>
    <w:p w14:paraId="2EFAAA17">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bookmarkStart w:id="132" w:name="OLE_LINK169"/>
    </w:p>
    <w:p w14:paraId="615BF325">
      <w:pPr>
        <w:adjustRightInd w:val="0"/>
        <w:snapToGrid w:val="0"/>
        <w:spacing w:line="360" w:lineRule="auto"/>
        <w:jc w:val="center"/>
        <w:rPr>
          <w:rFonts w:hint="eastAsia" w:ascii="宋体" w:hAnsi="宋体" w:eastAsia="宋体" w:cs="宋体"/>
          <w:szCs w:val="21"/>
        </w:rPr>
      </w:pPr>
    </w:p>
    <w:p w14:paraId="1F8BB486">
      <w:pPr>
        <w:adjustRightInd w:val="0"/>
        <w:snapToGrid w:val="0"/>
        <w:spacing w:line="360" w:lineRule="auto"/>
        <w:jc w:val="center"/>
        <w:rPr>
          <w:rFonts w:hint="eastAsia" w:ascii="宋体" w:hAnsi="宋体" w:eastAsia="宋体" w:cs="宋体"/>
          <w:sz w:val="32"/>
          <w:szCs w:val="32"/>
        </w:rPr>
      </w:pPr>
    </w:p>
    <w:p w14:paraId="4D99499A">
      <w:pPr>
        <w:adjustRightInd w:val="0"/>
        <w:snapToGrid w:val="0"/>
        <w:spacing w:line="360" w:lineRule="auto"/>
        <w:jc w:val="center"/>
        <w:rPr>
          <w:rFonts w:hint="eastAsia" w:ascii="宋体" w:hAnsi="宋体" w:eastAsia="宋体" w:cs="宋体"/>
          <w:sz w:val="32"/>
          <w:szCs w:val="32"/>
        </w:rPr>
      </w:pPr>
    </w:p>
    <w:p w14:paraId="0CA97962">
      <w:pPr>
        <w:adjustRightInd w:val="0"/>
        <w:snapToGrid w:val="0"/>
        <w:spacing w:line="360" w:lineRule="auto"/>
        <w:jc w:val="center"/>
        <w:rPr>
          <w:rFonts w:hint="eastAsia" w:ascii="宋体" w:hAnsi="宋体" w:eastAsia="宋体" w:cs="宋体"/>
          <w:sz w:val="32"/>
          <w:szCs w:val="32"/>
        </w:rPr>
      </w:pPr>
    </w:p>
    <w:p w14:paraId="5CA24F4F">
      <w:pPr>
        <w:widowControl w:val="0"/>
        <w:adjustRightInd w:val="0"/>
        <w:snapToGrid w:val="0"/>
        <w:spacing w:line="360" w:lineRule="auto"/>
        <w:jc w:val="center"/>
        <w:rPr>
          <w:rFonts w:hint="eastAsia" w:ascii="宋体" w:hAnsi="宋体" w:eastAsia="宋体" w:cs="宋体"/>
          <w:b/>
          <w:bCs/>
          <w:kern w:val="2"/>
          <w:sz w:val="72"/>
          <w:szCs w:val="72"/>
          <w:lang w:val="en-US" w:eastAsia="zh-CN" w:bidi="ar-SA"/>
        </w:rPr>
      </w:pPr>
      <w:r>
        <w:rPr>
          <w:rFonts w:hint="eastAsia" w:ascii="宋体" w:hAnsi="宋体" w:eastAsia="宋体" w:cs="宋体"/>
          <w:b/>
          <w:bCs/>
          <w:kern w:val="2"/>
          <w:sz w:val="72"/>
          <w:szCs w:val="72"/>
          <w:lang w:val="en-US" w:eastAsia="zh-CN" w:bidi="ar-SA"/>
        </w:rPr>
        <w:t>政府采购</w:t>
      </w:r>
    </w:p>
    <w:p w14:paraId="59C97811">
      <w:pPr>
        <w:adjustRightInd w:val="0"/>
        <w:snapToGrid w:val="0"/>
        <w:spacing w:line="360" w:lineRule="auto"/>
        <w:jc w:val="center"/>
        <w:rPr>
          <w:rFonts w:hint="eastAsia" w:ascii="宋体" w:hAnsi="宋体" w:eastAsia="宋体" w:cs="宋体"/>
          <w:b/>
          <w:bCs/>
          <w:sz w:val="84"/>
          <w:szCs w:val="84"/>
        </w:rPr>
      </w:pPr>
      <w:r>
        <w:rPr>
          <w:rFonts w:hint="eastAsia" w:ascii="宋体" w:hAnsi="宋体" w:eastAsia="宋体" w:cs="宋体"/>
          <w:b/>
          <w:bCs/>
          <w:sz w:val="84"/>
          <w:szCs w:val="84"/>
        </w:rPr>
        <w:t>投 标 文 件</w:t>
      </w:r>
    </w:p>
    <w:p w14:paraId="2110135F">
      <w:pPr>
        <w:keepNext/>
        <w:keepLines/>
        <w:widowControl w:val="0"/>
        <w:adjustRightInd w:val="0"/>
        <w:snapToGrid w:val="0"/>
        <w:spacing w:line="360" w:lineRule="auto"/>
        <w:jc w:val="center"/>
        <w:outlineLvl w:val="1"/>
        <w:rPr>
          <w:rFonts w:hint="eastAsia" w:ascii="宋体" w:hAnsi="宋体" w:eastAsia="宋体" w:cs="宋体"/>
          <w:b/>
          <w:bCs/>
          <w:kern w:val="2"/>
          <w:sz w:val="44"/>
          <w:szCs w:val="44"/>
          <w:lang w:val="en-US" w:eastAsia="zh-CN" w:bidi="ar-SA"/>
        </w:rPr>
      </w:pPr>
      <w:bookmarkStart w:id="133" w:name="_Toc23611"/>
      <w:r>
        <w:rPr>
          <w:rFonts w:hint="eastAsia" w:ascii="宋体" w:hAnsi="宋体" w:eastAsia="宋体" w:cs="宋体"/>
          <w:b/>
          <w:bCs/>
          <w:kern w:val="2"/>
          <w:sz w:val="44"/>
          <w:szCs w:val="44"/>
          <w:lang w:val="en-US" w:eastAsia="zh-CN" w:bidi="ar-SA"/>
        </w:rPr>
        <w:t>第一部分 资格证明文件</w:t>
      </w:r>
      <w:bookmarkEnd w:id="133"/>
    </w:p>
    <w:p w14:paraId="00C3EC45">
      <w:pPr>
        <w:adjustRightInd w:val="0"/>
        <w:snapToGrid w:val="0"/>
        <w:spacing w:line="360" w:lineRule="auto"/>
        <w:rPr>
          <w:rFonts w:hint="eastAsia" w:ascii="宋体" w:hAnsi="宋体" w:eastAsia="宋体" w:cs="宋体"/>
          <w:b/>
          <w:sz w:val="32"/>
          <w:szCs w:val="32"/>
        </w:rPr>
      </w:pPr>
    </w:p>
    <w:p w14:paraId="774BD4DA">
      <w:pPr>
        <w:adjustRightInd w:val="0"/>
        <w:snapToGrid w:val="0"/>
        <w:spacing w:line="360" w:lineRule="auto"/>
        <w:rPr>
          <w:rFonts w:hint="eastAsia" w:ascii="宋体" w:hAnsi="宋体" w:eastAsia="宋体" w:cs="宋体"/>
          <w:b/>
          <w:sz w:val="30"/>
          <w:szCs w:val="30"/>
        </w:rPr>
      </w:pPr>
      <w:r>
        <w:rPr>
          <w:rFonts w:hint="eastAsia" w:ascii="宋体" w:hAnsi="宋体" w:eastAsia="宋体" w:cs="宋体"/>
          <w:b/>
          <w:sz w:val="32"/>
          <w:szCs w:val="32"/>
        </w:rPr>
        <w:t xml:space="preserve">                     </w:t>
      </w:r>
    </w:p>
    <w:p w14:paraId="33319B78">
      <w:pPr>
        <w:widowControl w:val="0"/>
        <w:adjustRightInd w:val="0"/>
        <w:snapToGrid w:val="0"/>
        <w:spacing w:line="360" w:lineRule="auto"/>
        <w:ind w:firstLine="1988" w:firstLineChars="660"/>
        <w:jc w:val="both"/>
        <w:rPr>
          <w:rFonts w:hint="eastAsia" w:ascii="宋体" w:hAnsi="宋体" w:eastAsia="宋体" w:cs="宋体"/>
          <w:b/>
          <w:bCs/>
          <w:kern w:val="2"/>
          <w:sz w:val="30"/>
          <w:szCs w:val="30"/>
          <w:u w:val="single"/>
          <w:lang w:val="en-US" w:eastAsia="zh-CN" w:bidi="ar-SA"/>
        </w:rPr>
      </w:pPr>
      <w:r>
        <w:rPr>
          <w:rFonts w:hint="eastAsia" w:ascii="宋体" w:hAnsi="宋体" w:eastAsia="宋体" w:cs="宋体"/>
          <w:b/>
          <w:bCs/>
          <w:kern w:val="2"/>
          <w:sz w:val="30"/>
          <w:szCs w:val="30"/>
          <w:lang w:val="en-US" w:eastAsia="zh-CN" w:bidi="ar-SA"/>
        </w:rPr>
        <w:t>采购项目名称：</w:t>
      </w:r>
      <w:r>
        <w:rPr>
          <w:rFonts w:hint="eastAsia" w:ascii="宋体" w:hAnsi="宋体" w:eastAsia="宋体" w:cs="宋体"/>
          <w:b/>
          <w:bCs/>
          <w:kern w:val="2"/>
          <w:sz w:val="30"/>
          <w:szCs w:val="30"/>
          <w:u w:val="single"/>
          <w:lang w:val="en-US" w:eastAsia="zh-CN" w:bidi="ar-SA"/>
        </w:rPr>
        <w:t xml:space="preserve">                       </w:t>
      </w:r>
    </w:p>
    <w:p w14:paraId="11261BBF">
      <w:pPr>
        <w:widowControl w:val="0"/>
        <w:adjustRightInd w:val="0"/>
        <w:snapToGrid w:val="0"/>
        <w:spacing w:line="360" w:lineRule="auto"/>
        <w:ind w:firstLine="1988" w:firstLineChars="660"/>
        <w:jc w:val="both"/>
        <w:rPr>
          <w:rFonts w:hint="eastAsia" w:ascii="宋体" w:hAnsi="宋体" w:eastAsia="宋体" w:cs="宋体"/>
          <w:b/>
          <w:bCs/>
          <w:kern w:val="2"/>
          <w:sz w:val="30"/>
          <w:szCs w:val="30"/>
          <w:u w:val="single"/>
          <w:lang w:val="en-US" w:eastAsia="zh-CN" w:bidi="ar-SA"/>
        </w:rPr>
      </w:pPr>
      <w:r>
        <w:rPr>
          <w:rFonts w:hint="eastAsia" w:ascii="宋体" w:hAnsi="宋体" w:eastAsia="宋体" w:cs="宋体"/>
          <w:b/>
          <w:bCs/>
          <w:kern w:val="2"/>
          <w:sz w:val="30"/>
          <w:szCs w:val="30"/>
          <w:lang w:val="en-US" w:eastAsia="zh-CN" w:bidi="ar-SA"/>
        </w:rPr>
        <w:t>政府采购编号：</w:t>
      </w:r>
      <w:r>
        <w:rPr>
          <w:rFonts w:hint="eastAsia" w:ascii="宋体" w:hAnsi="宋体" w:eastAsia="宋体" w:cs="宋体"/>
          <w:b/>
          <w:bCs/>
          <w:kern w:val="2"/>
          <w:sz w:val="30"/>
          <w:szCs w:val="30"/>
          <w:u w:val="single"/>
          <w:lang w:val="en-US" w:eastAsia="zh-CN" w:bidi="ar-SA"/>
        </w:rPr>
        <w:t xml:space="preserve">                       </w:t>
      </w:r>
    </w:p>
    <w:p w14:paraId="7E0316FF">
      <w:pPr>
        <w:widowControl w:val="0"/>
        <w:adjustRightInd w:val="0"/>
        <w:snapToGrid w:val="0"/>
        <w:spacing w:line="360" w:lineRule="auto"/>
        <w:ind w:firstLine="1988" w:firstLineChars="660"/>
        <w:jc w:val="both"/>
        <w:rPr>
          <w:rFonts w:hint="eastAsia" w:ascii="宋体" w:hAnsi="宋体" w:eastAsia="宋体" w:cs="宋体"/>
          <w:b/>
          <w:bCs/>
          <w:kern w:val="2"/>
          <w:sz w:val="30"/>
          <w:szCs w:val="30"/>
          <w:u w:val="single"/>
          <w:lang w:val="en-US" w:eastAsia="zh-CN" w:bidi="ar-SA"/>
        </w:rPr>
      </w:pPr>
      <w:r>
        <w:rPr>
          <w:rFonts w:hint="eastAsia" w:ascii="宋体" w:hAnsi="宋体" w:eastAsia="宋体" w:cs="宋体"/>
          <w:b/>
          <w:bCs/>
          <w:kern w:val="2"/>
          <w:sz w:val="30"/>
          <w:szCs w:val="30"/>
          <w:lang w:val="en-US" w:eastAsia="zh-CN" w:bidi="ar-SA"/>
        </w:rPr>
        <w:t>采购代理编号：</w:t>
      </w:r>
      <w:r>
        <w:rPr>
          <w:rFonts w:hint="eastAsia" w:ascii="宋体" w:hAnsi="宋体" w:eastAsia="宋体" w:cs="宋体"/>
          <w:b/>
          <w:bCs/>
          <w:kern w:val="2"/>
          <w:sz w:val="30"/>
          <w:szCs w:val="30"/>
          <w:u w:val="single"/>
          <w:lang w:val="en-US" w:eastAsia="zh-CN" w:bidi="ar-SA"/>
        </w:rPr>
        <w:t xml:space="preserve">                       </w:t>
      </w:r>
    </w:p>
    <w:p w14:paraId="57961FB5">
      <w:pPr>
        <w:adjustRightInd w:val="0"/>
        <w:snapToGrid w:val="0"/>
        <w:spacing w:line="360" w:lineRule="auto"/>
        <w:rPr>
          <w:rFonts w:hint="eastAsia" w:ascii="宋体" w:hAnsi="宋体" w:eastAsia="宋体" w:cs="宋体"/>
          <w:sz w:val="30"/>
          <w:szCs w:val="30"/>
        </w:rPr>
      </w:pPr>
    </w:p>
    <w:p w14:paraId="354B5253">
      <w:pPr>
        <w:adjustRightInd w:val="0"/>
        <w:snapToGrid w:val="0"/>
        <w:spacing w:line="360" w:lineRule="auto"/>
        <w:rPr>
          <w:rFonts w:hint="eastAsia" w:ascii="宋体" w:hAnsi="宋体" w:eastAsia="宋体" w:cs="宋体"/>
          <w:sz w:val="30"/>
          <w:szCs w:val="30"/>
        </w:rPr>
      </w:pPr>
    </w:p>
    <w:p w14:paraId="25A1FF63">
      <w:pPr>
        <w:adjustRightInd w:val="0"/>
        <w:snapToGrid w:val="0"/>
        <w:spacing w:line="360" w:lineRule="auto"/>
        <w:ind w:firstLine="1984" w:firstLineChars="620"/>
        <w:rPr>
          <w:rFonts w:hint="eastAsia" w:ascii="宋体" w:hAnsi="宋体" w:eastAsia="宋体" w:cs="宋体"/>
          <w:sz w:val="32"/>
          <w:szCs w:val="32"/>
          <w:u w:val="single"/>
        </w:rPr>
      </w:pPr>
      <w:r>
        <w:rPr>
          <w:rFonts w:hint="eastAsia" w:ascii="宋体" w:hAnsi="宋体" w:eastAsia="宋体" w:cs="宋体"/>
          <w:sz w:val="32"/>
          <w:szCs w:val="32"/>
        </w:rPr>
        <w:t>投标人</w:t>
      </w:r>
      <w:r>
        <w:rPr>
          <w:rFonts w:hint="eastAsia" w:ascii="宋体" w:hAnsi="宋体" w:eastAsia="宋体" w:cs="宋体"/>
          <w:sz w:val="32"/>
          <w:szCs w:val="32"/>
          <w:u w:val="single"/>
        </w:rPr>
        <w:t xml:space="preserve">                         </w:t>
      </w:r>
    </w:p>
    <w:p w14:paraId="52CF4C82">
      <w:pPr>
        <w:adjustRightInd w:val="0"/>
        <w:snapToGrid w:val="0"/>
        <w:spacing w:line="360" w:lineRule="auto"/>
        <w:jc w:val="center"/>
        <w:rPr>
          <w:rFonts w:hint="eastAsia" w:ascii="宋体" w:hAnsi="宋体" w:eastAsia="宋体" w:cs="宋体"/>
          <w:sz w:val="28"/>
          <w:szCs w:val="28"/>
        </w:rPr>
      </w:pPr>
      <w:r>
        <w:rPr>
          <w:rFonts w:hint="eastAsia" w:ascii="宋体" w:hAnsi="宋体" w:eastAsia="宋体" w:cs="宋体"/>
          <w:sz w:val="32"/>
          <w:szCs w:val="32"/>
        </w:rPr>
        <w:t>年  月  日</w:t>
      </w:r>
      <w:bookmarkEnd w:id="132"/>
      <w:r>
        <w:rPr>
          <w:rFonts w:hint="eastAsia" w:ascii="宋体" w:hAnsi="宋体" w:eastAsia="宋体" w:cs="宋体"/>
          <w:sz w:val="28"/>
          <w:szCs w:val="28"/>
        </w:rPr>
        <w:br w:type="page"/>
      </w:r>
    </w:p>
    <w:p w14:paraId="75B7055E">
      <w:pPr>
        <w:adjustRightInd w:val="0"/>
        <w:snapToGrid w:val="0"/>
        <w:spacing w:line="360" w:lineRule="auto"/>
        <w:jc w:val="center"/>
        <w:outlineLvl w:val="2"/>
        <w:rPr>
          <w:rFonts w:hint="eastAsia" w:ascii="宋体" w:hAnsi="宋体" w:eastAsia="黑体" w:cs="宋体"/>
          <w:b/>
          <w:bCs/>
          <w:sz w:val="28"/>
          <w:szCs w:val="28"/>
        </w:rPr>
      </w:pPr>
      <w:bookmarkStart w:id="134" w:name="OLE_LINK143"/>
      <w:bookmarkStart w:id="135" w:name="OLE_LINK145"/>
      <w:bookmarkStart w:id="136" w:name="_Toc3130"/>
      <w:bookmarkStart w:id="137" w:name="_Toc24658"/>
      <w:bookmarkStart w:id="138" w:name="_Toc16614"/>
      <w:bookmarkStart w:id="139" w:name="_Toc30442"/>
      <w:bookmarkStart w:id="140" w:name="_Toc335"/>
      <w:r>
        <w:rPr>
          <w:rFonts w:hint="eastAsia" w:ascii="宋体" w:hAnsi="宋体" w:eastAsia="黑体" w:cs="宋体"/>
          <w:b/>
          <w:bCs/>
          <w:sz w:val="28"/>
          <w:szCs w:val="28"/>
        </w:rPr>
        <w:t>一、</w:t>
      </w:r>
      <w:bookmarkStart w:id="141" w:name="OLE_LINK212"/>
      <w:r>
        <w:rPr>
          <w:rFonts w:hint="eastAsia" w:ascii="宋体" w:hAnsi="宋体" w:eastAsia="黑体" w:cs="宋体"/>
          <w:b/>
          <w:bCs/>
          <w:sz w:val="28"/>
          <w:szCs w:val="28"/>
        </w:rPr>
        <w:t>资格证明材料</w:t>
      </w:r>
      <w:bookmarkEnd w:id="134"/>
      <w:bookmarkEnd w:id="141"/>
    </w:p>
    <w:bookmarkEnd w:id="135"/>
    <w:p w14:paraId="0955E7CE">
      <w:pPr>
        <w:adjustRightInd w:val="0"/>
        <w:snapToGrid w:val="0"/>
        <w:spacing w:line="360" w:lineRule="auto"/>
        <w:jc w:val="center"/>
        <w:rPr>
          <w:rFonts w:hint="eastAsia" w:ascii="宋体" w:hAnsi="宋体" w:eastAsia="宋体" w:cs="宋体"/>
          <w:sz w:val="28"/>
          <w:szCs w:val="28"/>
        </w:rPr>
      </w:pPr>
    </w:p>
    <w:p w14:paraId="3FAA78AB">
      <w:pPr>
        <w:keepNext/>
        <w:keepLines/>
        <w:widowControl w:val="0"/>
        <w:adjustRightInd w:val="0"/>
        <w:snapToGrid w:val="0"/>
        <w:spacing w:before="0" w:after="0" w:line="360" w:lineRule="auto"/>
        <w:jc w:val="center"/>
        <w:outlineLvl w:val="2"/>
        <w:rPr>
          <w:rFonts w:hint="eastAsia" w:ascii="宋体" w:hAnsi="宋体" w:eastAsia="宋体" w:cs="宋体"/>
          <w:b/>
          <w:bCs/>
          <w:kern w:val="2"/>
          <w:sz w:val="28"/>
          <w:szCs w:val="28"/>
          <w:lang w:val="en-US" w:eastAsia="zh-CN" w:bidi="ar-SA"/>
        </w:rPr>
      </w:pPr>
      <w:bookmarkStart w:id="142" w:name="OLE_LINK144"/>
      <w:bookmarkStart w:id="143" w:name="OLE_LINK213"/>
      <w:r>
        <w:rPr>
          <w:rFonts w:hint="eastAsia" w:ascii="宋体" w:hAnsi="宋体" w:eastAsia="宋体" w:cs="宋体"/>
          <w:b/>
          <w:bCs/>
          <w:kern w:val="2"/>
          <w:sz w:val="28"/>
          <w:szCs w:val="28"/>
          <w:lang w:val="en-US" w:eastAsia="zh-CN" w:bidi="ar-SA"/>
        </w:rPr>
        <w:t>（一）开标一览表</w:t>
      </w:r>
      <w:bookmarkEnd w:id="136"/>
      <w:bookmarkEnd w:id="137"/>
      <w:bookmarkEnd w:id="138"/>
      <w:bookmarkEnd w:id="139"/>
    </w:p>
    <w:p w14:paraId="09E3FFC2">
      <w:pPr>
        <w:adjustRightInd w:val="0"/>
        <w:snapToGrid w:val="0"/>
        <w:spacing w:line="360" w:lineRule="auto"/>
        <w:ind w:left="-88" w:leftChars="-42"/>
        <w:jc w:val="center"/>
        <w:rPr>
          <w:rFonts w:hint="eastAsia" w:ascii="宋体" w:hAnsi="宋体" w:eastAsia="宋体" w:cs="宋体"/>
          <w:sz w:val="24"/>
        </w:rPr>
      </w:pPr>
    </w:p>
    <w:p w14:paraId="0AD75B78">
      <w:pPr>
        <w:adjustRightInd w:val="0"/>
        <w:snapToGrid w:val="0"/>
        <w:spacing w:line="360" w:lineRule="auto"/>
        <w:rPr>
          <w:rFonts w:hint="eastAsia" w:ascii="宋体" w:hAnsi="宋体" w:eastAsia="宋体" w:cs="宋体"/>
          <w:szCs w:val="22"/>
          <w:u w:val="single"/>
          <w:lang w:bidi="ar"/>
        </w:rPr>
      </w:pPr>
      <w:r>
        <w:rPr>
          <w:rFonts w:hint="eastAsia" w:ascii="宋体" w:hAnsi="宋体" w:eastAsia="宋体" w:cs="宋体"/>
          <w:szCs w:val="22"/>
          <w:lang w:bidi="ar"/>
        </w:rPr>
        <w:t>采购代理编号：</w:t>
      </w:r>
      <w:r>
        <w:rPr>
          <w:rFonts w:hint="eastAsia" w:ascii="宋体" w:hAnsi="宋体" w:eastAsia="宋体" w:cs="宋体"/>
          <w:szCs w:val="22"/>
          <w:u w:val="single"/>
          <w:lang w:bidi="ar"/>
        </w:rPr>
        <w:t xml:space="preserve">              </w:t>
      </w:r>
      <w:r>
        <w:rPr>
          <w:rFonts w:hint="eastAsia" w:ascii="宋体" w:hAnsi="宋体" w:eastAsia="宋体" w:cs="宋体"/>
          <w:szCs w:val="22"/>
          <w:lang w:bidi="ar"/>
        </w:rPr>
        <w:t xml:space="preserve">                          项目名称： </w:t>
      </w:r>
      <w:r>
        <w:rPr>
          <w:rFonts w:hint="eastAsia" w:ascii="宋体" w:hAnsi="宋体" w:eastAsia="宋体" w:cs="宋体"/>
          <w:szCs w:val="22"/>
          <w:u w:val="single"/>
          <w:lang w:bidi="ar"/>
        </w:rPr>
        <w:t xml:space="preserve">           </w:t>
      </w:r>
    </w:p>
    <w:p w14:paraId="02DCC198">
      <w:pPr>
        <w:widowControl w:val="0"/>
        <w:tabs>
          <w:tab w:val="left" w:pos="360"/>
        </w:tabs>
        <w:adjustRightInd w:val="0"/>
        <w:ind w:left="360" w:hanging="360"/>
        <w:jc w:val="both"/>
        <w:textAlignment w:val="baseline"/>
        <w:rPr>
          <w:rFonts w:hint="eastAsia" w:ascii="宋体" w:hAnsi="宋体" w:eastAsia="宋体" w:cs="Times New Roman"/>
          <w:i/>
          <w:kern w:val="0"/>
          <w:sz w:val="21"/>
          <w:szCs w:val="21"/>
          <w:lang w:val="en-US" w:eastAsia="zh-CN" w:bidi="ar-SA"/>
        </w:rPr>
      </w:pPr>
      <w:r>
        <w:rPr>
          <w:rFonts w:hint="eastAsia" w:ascii="宋体" w:hAnsi="宋体" w:eastAsia="宋体" w:cs="宋体"/>
          <w:i w:val="0"/>
          <w:kern w:val="2"/>
          <w:sz w:val="21"/>
          <w:szCs w:val="22"/>
          <w:lang w:val="en-US" w:eastAsia="zh-CN" w:bidi="ar"/>
        </w:rPr>
        <w:t>包号：</w:t>
      </w:r>
      <w:r>
        <w:rPr>
          <w:rFonts w:hint="eastAsia" w:ascii="宋体" w:hAnsi="宋体" w:eastAsia="宋体" w:cs="宋体"/>
          <w:i/>
          <w:kern w:val="0"/>
          <w:sz w:val="21"/>
          <w:szCs w:val="21"/>
          <w:u w:val="single"/>
          <w:lang w:val="en-US" w:eastAsia="zh-CN" w:bidi="ar-SA"/>
        </w:rPr>
        <w:t xml:space="preserve">              </w:t>
      </w:r>
      <w:r>
        <w:rPr>
          <w:rFonts w:hint="eastAsia" w:ascii="宋体" w:hAnsi="宋体" w:eastAsia="宋体" w:cs="宋体"/>
          <w:i/>
          <w:kern w:val="0"/>
          <w:sz w:val="21"/>
          <w:szCs w:val="21"/>
          <w:lang w:val="en-US" w:eastAsia="zh-CN" w:bidi="ar-SA"/>
        </w:rPr>
        <w:t xml:space="preserve">                             </w:t>
      </w:r>
      <w:r>
        <w:rPr>
          <w:rFonts w:hint="eastAsia" w:ascii="宋体" w:hAnsi="宋体" w:eastAsia="宋体" w:cs="宋体"/>
          <w:i w:val="0"/>
          <w:kern w:val="2"/>
          <w:sz w:val="21"/>
          <w:szCs w:val="22"/>
          <w:lang w:val="en-US" w:eastAsia="zh-CN" w:bidi="ar"/>
        </w:rPr>
        <w:t xml:space="preserve">     包名称：</w:t>
      </w:r>
      <w:r>
        <w:rPr>
          <w:rFonts w:hint="eastAsia" w:ascii="宋体" w:hAnsi="宋体" w:eastAsia="宋体" w:cs="宋体"/>
          <w:i/>
          <w:kern w:val="0"/>
          <w:sz w:val="21"/>
          <w:szCs w:val="21"/>
          <w:u w:val="single"/>
          <w:lang w:val="en-US" w:eastAsia="zh-CN" w:bidi="ar-SA"/>
        </w:rPr>
        <w:t xml:space="preserve">             </w:t>
      </w:r>
    </w:p>
    <w:tbl>
      <w:tblPr>
        <w:tblStyle w:val="3"/>
        <w:tblW w:w="907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539"/>
        <w:gridCol w:w="4540"/>
      </w:tblGrid>
      <w:tr w14:paraId="74D3D2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39" w:type="dxa"/>
            <w:tcBorders>
              <w:tl2br w:val="nil"/>
              <w:tr2bl w:val="nil"/>
            </w:tcBorders>
            <w:vAlign w:val="center"/>
          </w:tcPr>
          <w:p w14:paraId="69FBA421">
            <w:pPr>
              <w:widowControl w:val="0"/>
              <w:tabs>
                <w:tab w:val="left" w:pos="360"/>
              </w:tabs>
              <w:adjustRightInd w:val="0"/>
              <w:ind w:left="360" w:hanging="360"/>
              <w:jc w:val="center"/>
              <w:textAlignment w:val="baseline"/>
              <w:rPr>
                <w:rFonts w:hint="eastAsia" w:ascii="宋体" w:hAnsi="宋体" w:eastAsia="宋体" w:cs="Times New Roman"/>
                <w:i w:val="0"/>
                <w:iCs/>
                <w:kern w:val="0"/>
                <w:sz w:val="21"/>
                <w:szCs w:val="21"/>
                <w:lang w:val="en-US" w:eastAsia="zh-CN" w:bidi="ar-SA"/>
              </w:rPr>
            </w:pPr>
            <w:r>
              <w:rPr>
                <w:rFonts w:hint="eastAsia" w:ascii="宋体" w:hAnsi="宋体" w:eastAsia="宋体" w:cs="Times New Roman"/>
                <w:i w:val="0"/>
                <w:iCs/>
                <w:kern w:val="0"/>
                <w:sz w:val="21"/>
                <w:szCs w:val="21"/>
                <w:lang w:val="en-US" w:eastAsia="zh-CN" w:bidi="ar-SA"/>
              </w:rPr>
              <w:t>标题</w:t>
            </w:r>
          </w:p>
        </w:tc>
        <w:tc>
          <w:tcPr>
            <w:tcW w:w="4540" w:type="dxa"/>
            <w:tcBorders>
              <w:tl2br w:val="nil"/>
              <w:tr2bl w:val="nil"/>
            </w:tcBorders>
            <w:vAlign w:val="center"/>
          </w:tcPr>
          <w:p w14:paraId="75D483DE">
            <w:pPr>
              <w:widowControl w:val="0"/>
              <w:tabs>
                <w:tab w:val="left" w:pos="360"/>
              </w:tabs>
              <w:adjustRightInd w:val="0"/>
              <w:ind w:left="360" w:hanging="360"/>
              <w:jc w:val="center"/>
              <w:textAlignment w:val="baseline"/>
              <w:rPr>
                <w:rFonts w:hint="eastAsia" w:ascii="宋体" w:hAnsi="宋体" w:eastAsia="宋体" w:cs="Times New Roman"/>
                <w:i w:val="0"/>
                <w:iCs/>
                <w:kern w:val="0"/>
                <w:sz w:val="21"/>
                <w:szCs w:val="21"/>
                <w:lang w:val="en-US" w:eastAsia="zh-CN" w:bidi="ar-SA"/>
              </w:rPr>
            </w:pPr>
            <w:r>
              <w:rPr>
                <w:rFonts w:hint="eastAsia" w:ascii="宋体" w:hAnsi="宋体" w:eastAsia="宋体" w:cs="Times New Roman"/>
                <w:i w:val="0"/>
                <w:iCs/>
                <w:kern w:val="0"/>
                <w:sz w:val="21"/>
                <w:szCs w:val="21"/>
                <w:lang w:val="en-US" w:eastAsia="zh-CN" w:bidi="ar-SA"/>
              </w:rPr>
              <w:t>内容</w:t>
            </w:r>
          </w:p>
        </w:tc>
      </w:tr>
      <w:tr w14:paraId="4F0D61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39" w:type="dxa"/>
            <w:tcBorders>
              <w:tl2br w:val="nil"/>
              <w:tr2bl w:val="nil"/>
            </w:tcBorders>
            <w:vAlign w:val="center"/>
          </w:tcPr>
          <w:p w14:paraId="7D3EBC2E">
            <w:pPr>
              <w:widowControl w:val="0"/>
              <w:tabs>
                <w:tab w:val="left" w:pos="360"/>
              </w:tabs>
              <w:adjustRightInd w:val="0"/>
              <w:ind w:left="360" w:hanging="360"/>
              <w:jc w:val="center"/>
              <w:textAlignment w:val="baseline"/>
              <w:rPr>
                <w:rFonts w:hint="eastAsia" w:ascii="宋体" w:hAnsi="宋体" w:eastAsia="宋体" w:cs="Times New Roman"/>
                <w:i w:val="0"/>
                <w:iCs/>
                <w:kern w:val="0"/>
                <w:sz w:val="21"/>
                <w:szCs w:val="21"/>
                <w:lang w:val="en-US" w:eastAsia="zh-CN" w:bidi="ar-SA"/>
              </w:rPr>
            </w:pPr>
            <w:r>
              <w:rPr>
                <w:rFonts w:hint="eastAsia" w:ascii="宋体" w:hAnsi="宋体" w:eastAsia="宋体" w:cs="Times New Roman"/>
                <w:i w:val="0"/>
                <w:iCs/>
                <w:kern w:val="0"/>
                <w:sz w:val="21"/>
                <w:szCs w:val="21"/>
                <w:lang w:val="en-US" w:eastAsia="zh-CN" w:bidi="ar-SA"/>
              </w:rPr>
              <w:t>总报价</w:t>
            </w:r>
          </w:p>
        </w:tc>
        <w:tc>
          <w:tcPr>
            <w:tcW w:w="4540" w:type="dxa"/>
            <w:tcBorders>
              <w:tl2br w:val="nil"/>
              <w:tr2bl w:val="nil"/>
            </w:tcBorders>
            <w:vAlign w:val="center"/>
          </w:tcPr>
          <w:p w14:paraId="6AC62885">
            <w:pPr>
              <w:widowControl w:val="0"/>
              <w:tabs>
                <w:tab w:val="left" w:pos="360"/>
              </w:tabs>
              <w:adjustRightInd w:val="0"/>
              <w:ind w:left="360" w:hanging="360"/>
              <w:jc w:val="center"/>
              <w:textAlignment w:val="baseline"/>
              <w:rPr>
                <w:rFonts w:hint="eastAsia" w:ascii="宋体" w:hAnsi="宋体" w:eastAsia="宋体" w:cs="Times New Roman"/>
                <w:i w:val="0"/>
                <w:iCs/>
                <w:kern w:val="0"/>
                <w:sz w:val="21"/>
                <w:szCs w:val="21"/>
                <w:lang w:val="en-US" w:eastAsia="zh-CN" w:bidi="ar-SA"/>
              </w:rPr>
            </w:pPr>
            <w:r>
              <w:rPr>
                <w:rFonts w:hint="eastAsia" w:ascii="宋体" w:hAnsi="宋体" w:eastAsia="宋体" w:cs="Times New Roman"/>
                <w:i w:val="0"/>
                <w:iCs/>
                <w:kern w:val="0"/>
                <w:sz w:val="21"/>
                <w:szCs w:val="21"/>
                <w:u w:val="single"/>
                <w:lang w:val="en-US" w:eastAsia="zh-CN" w:bidi="ar-SA"/>
              </w:rPr>
              <w:t xml:space="preserve">                 </w:t>
            </w:r>
            <w:r>
              <w:rPr>
                <w:rFonts w:hint="eastAsia" w:ascii="宋体" w:hAnsi="宋体" w:eastAsia="宋体" w:cs="Times New Roman"/>
                <w:i w:val="0"/>
                <w:iCs/>
                <w:kern w:val="0"/>
                <w:sz w:val="21"/>
                <w:szCs w:val="21"/>
                <w:lang w:val="en-US" w:eastAsia="zh-CN" w:bidi="ar-SA"/>
              </w:rPr>
              <w:t>元</w:t>
            </w:r>
          </w:p>
        </w:tc>
      </w:tr>
      <w:tr w14:paraId="1744E4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39" w:type="dxa"/>
            <w:tcBorders>
              <w:tl2br w:val="nil"/>
              <w:tr2bl w:val="nil"/>
            </w:tcBorders>
            <w:vAlign w:val="center"/>
          </w:tcPr>
          <w:p w14:paraId="4F5842CB">
            <w:pPr>
              <w:widowControl w:val="0"/>
              <w:tabs>
                <w:tab w:val="left" w:pos="360"/>
              </w:tabs>
              <w:adjustRightInd w:val="0"/>
              <w:ind w:left="360" w:hanging="360"/>
              <w:jc w:val="center"/>
              <w:textAlignment w:val="baseline"/>
              <w:rPr>
                <w:rFonts w:hint="eastAsia" w:ascii="宋体" w:hAnsi="宋体" w:eastAsia="宋体" w:cs="Times New Roman"/>
                <w:i w:val="0"/>
                <w:iCs/>
                <w:kern w:val="0"/>
                <w:sz w:val="21"/>
                <w:szCs w:val="21"/>
                <w:lang w:val="en-US" w:eastAsia="zh-CN" w:bidi="ar-SA"/>
              </w:rPr>
            </w:pPr>
            <w:r>
              <w:rPr>
                <w:rFonts w:hint="eastAsia" w:ascii="宋体" w:hAnsi="宋体" w:eastAsia="宋体" w:cs="Times New Roman"/>
                <w:i w:val="0"/>
                <w:iCs/>
                <w:kern w:val="0"/>
                <w:sz w:val="21"/>
                <w:szCs w:val="21"/>
                <w:lang w:val="en-US" w:eastAsia="zh-CN" w:bidi="ar-SA"/>
              </w:rPr>
              <w:t>合同周期</w:t>
            </w:r>
          </w:p>
        </w:tc>
        <w:tc>
          <w:tcPr>
            <w:tcW w:w="4540" w:type="dxa"/>
            <w:tcBorders>
              <w:tl2br w:val="nil"/>
              <w:tr2bl w:val="nil"/>
            </w:tcBorders>
            <w:vAlign w:val="center"/>
          </w:tcPr>
          <w:p w14:paraId="0807333A">
            <w:pPr>
              <w:widowControl w:val="0"/>
              <w:tabs>
                <w:tab w:val="left" w:pos="360"/>
              </w:tabs>
              <w:adjustRightInd w:val="0"/>
              <w:ind w:left="360" w:hanging="360"/>
              <w:jc w:val="center"/>
              <w:textAlignment w:val="baseline"/>
              <w:rPr>
                <w:rFonts w:hint="eastAsia" w:ascii="宋体" w:hAnsi="宋体" w:eastAsia="宋体" w:cs="Times New Roman"/>
                <w:i w:val="0"/>
                <w:iCs/>
                <w:kern w:val="0"/>
                <w:sz w:val="21"/>
                <w:szCs w:val="21"/>
                <w:lang w:val="en-US" w:eastAsia="zh-CN" w:bidi="ar-SA"/>
              </w:rPr>
            </w:pPr>
          </w:p>
        </w:tc>
      </w:tr>
      <w:tr w14:paraId="20E9C2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39" w:type="dxa"/>
            <w:tcBorders>
              <w:tl2br w:val="nil"/>
              <w:tr2bl w:val="nil"/>
            </w:tcBorders>
            <w:vAlign w:val="center"/>
          </w:tcPr>
          <w:p w14:paraId="48FEF7B0">
            <w:pPr>
              <w:widowControl w:val="0"/>
              <w:tabs>
                <w:tab w:val="left" w:pos="360"/>
              </w:tabs>
              <w:adjustRightInd w:val="0"/>
              <w:ind w:left="360" w:hanging="360"/>
              <w:jc w:val="center"/>
              <w:textAlignment w:val="baseline"/>
              <w:rPr>
                <w:rFonts w:hint="eastAsia" w:ascii="宋体" w:hAnsi="宋体" w:eastAsia="宋体" w:cs="Times New Roman"/>
                <w:i w:val="0"/>
                <w:iCs/>
                <w:kern w:val="0"/>
                <w:sz w:val="21"/>
                <w:szCs w:val="21"/>
                <w:lang w:val="en-US" w:eastAsia="zh-CN" w:bidi="ar-SA"/>
              </w:rPr>
            </w:pPr>
            <w:r>
              <w:rPr>
                <w:rFonts w:hint="eastAsia" w:ascii="宋体" w:hAnsi="宋体" w:eastAsia="宋体" w:cs="Times New Roman"/>
                <w:i w:val="0"/>
                <w:iCs/>
                <w:kern w:val="0"/>
                <w:sz w:val="21"/>
                <w:szCs w:val="21"/>
                <w:lang w:val="en-US" w:eastAsia="zh-CN" w:bidi="ar-SA"/>
              </w:rPr>
              <w:t>备注</w:t>
            </w:r>
          </w:p>
        </w:tc>
        <w:tc>
          <w:tcPr>
            <w:tcW w:w="4540" w:type="dxa"/>
            <w:tcBorders>
              <w:tl2br w:val="nil"/>
              <w:tr2bl w:val="nil"/>
            </w:tcBorders>
            <w:vAlign w:val="center"/>
          </w:tcPr>
          <w:p w14:paraId="7870F812">
            <w:pPr>
              <w:widowControl w:val="0"/>
              <w:tabs>
                <w:tab w:val="left" w:pos="360"/>
              </w:tabs>
              <w:adjustRightInd w:val="0"/>
              <w:ind w:left="360" w:hanging="360"/>
              <w:jc w:val="center"/>
              <w:textAlignment w:val="baseline"/>
              <w:rPr>
                <w:rFonts w:hint="eastAsia" w:ascii="宋体" w:hAnsi="宋体" w:eastAsia="宋体" w:cs="Times New Roman"/>
                <w:i w:val="0"/>
                <w:iCs/>
                <w:kern w:val="0"/>
                <w:sz w:val="21"/>
                <w:szCs w:val="21"/>
                <w:lang w:val="en-US" w:eastAsia="zh-CN" w:bidi="ar-SA"/>
              </w:rPr>
            </w:pPr>
          </w:p>
        </w:tc>
      </w:tr>
    </w:tbl>
    <w:p w14:paraId="42CEDB76">
      <w:pPr>
        <w:adjustRightInd w:val="0"/>
        <w:snapToGrid w:val="0"/>
        <w:spacing w:line="360" w:lineRule="auto"/>
        <w:rPr>
          <w:rFonts w:hint="eastAsia" w:ascii="宋体" w:hAnsi="宋体" w:eastAsia="宋体" w:cs="宋体"/>
          <w:b/>
          <w:szCs w:val="22"/>
          <w:lang w:bidi="ar"/>
        </w:rPr>
      </w:pPr>
      <w:r>
        <w:rPr>
          <w:rFonts w:hint="eastAsia" w:ascii="宋体" w:hAnsi="宋体" w:eastAsia="宋体" w:cs="宋体"/>
          <w:b/>
          <w:szCs w:val="22"/>
          <w:lang w:bidi="ar"/>
        </w:rPr>
        <w:t>备注：</w:t>
      </w:r>
      <w:r>
        <w:rPr>
          <w:rFonts w:hint="eastAsia" w:ascii="宋体" w:hAnsi="宋体" w:eastAsia="宋体" w:cs="宋体"/>
          <w:szCs w:val="21"/>
        </w:rPr>
        <w:t>（1）本表须按包填写，一个“包号”一份。</w:t>
      </w:r>
    </w:p>
    <w:p w14:paraId="14C60427">
      <w:pPr>
        <w:adjustRightInd w:val="0"/>
        <w:snapToGrid w:val="0"/>
        <w:spacing w:line="360" w:lineRule="auto"/>
        <w:rPr>
          <w:rFonts w:hint="eastAsia" w:ascii="宋体" w:hAnsi="宋体" w:eastAsia="宋体" w:cs="宋体"/>
        </w:rPr>
      </w:pPr>
      <w:r>
        <w:rPr>
          <w:rFonts w:hint="eastAsia" w:ascii="宋体" w:hAnsi="宋体" w:eastAsia="宋体" w:cs="宋体"/>
          <w:szCs w:val="22"/>
          <w:lang w:bidi="ar"/>
        </w:rPr>
        <w:t>（2）投标人提交两份及以上投标报价不同的“开标一览表”，且未书面说明哪个有效或以哪个为准的，其</w:t>
      </w:r>
      <w:r>
        <w:rPr>
          <w:rFonts w:hint="eastAsia" w:ascii="宋体" w:hAnsi="宋体" w:eastAsia="宋体" w:cs="宋体"/>
          <w:b/>
          <w:szCs w:val="22"/>
          <w:lang w:bidi="ar"/>
        </w:rPr>
        <w:t>投标无效</w:t>
      </w:r>
      <w:r>
        <w:rPr>
          <w:rFonts w:hint="eastAsia" w:ascii="宋体" w:hAnsi="宋体" w:eastAsia="宋体" w:cs="宋体"/>
          <w:szCs w:val="22"/>
          <w:lang w:bidi="ar"/>
        </w:rPr>
        <w:t>。</w:t>
      </w:r>
    </w:p>
    <w:p w14:paraId="0B9A0E2F">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szCs w:val="22"/>
          <w:lang w:bidi="ar"/>
        </w:rPr>
        <w:t>（3）投标人在投标截止时间前修改“开标一览表”中的投标报价的，应同时修改投标文件“分项报价明细表”“享受政府采购政策优惠的证明资料”以及“联合体协议书”（如果影响）等相关内容。</w:t>
      </w:r>
    </w:p>
    <w:p w14:paraId="301ED586">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szCs w:val="22"/>
          <w:lang w:bidi="ar"/>
        </w:rPr>
        <w:t xml:space="preserve"> </w:t>
      </w:r>
    </w:p>
    <w:p w14:paraId="29F25537">
      <w:pPr>
        <w:adjustRightInd w:val="0"/>
        <w:snapToGrid w:val="0"/>
        <w:spacing w:line="360" w:lineRule="auto"/>
        <w:rPr>
          <w:rFonts w:hint="eastAsia" w:ascii="宋体" w:hAnsi="宋体" w:eastAsia="宋体" w:cs="宋体"/>
        </w:rPr>
      </w:pPr>
      <w:r>
        <w:rPr>
          <w:rFonts w:hint="eastAsia" w:ascii="宋体" w:hAnsi="宋体" w:eastAsia="宋体" w:cs="宋体"/>
          <w:szCs w:val="22"/>
          <w:lang w:bidi="ar"/>
        </w:rPr>
        <w:t xml:space="preserve"> </w:t>
      </w:r>
    </w:p>
    <w:p w14:paraId="50BBE929">
      <w:pPr>
        <w:adjustRightInd w:val="0"/>
        <w:snapToGrid w:val="0"/>
        <w:spacing w:line="360" w:lineRule="auto"/>
        <w:rPr>
          <w:rFonts w:hint="eastAsia" w:ascii="宋体" w:hAnsi="宋体" w:eastAsia="宋体" w:cs="宋体"/>
        </w:rPr>
      </w:pPr>
      <w:r>
        <w:rPr>
          <w:rFonts w:hint="eastAsia" w:ascii="宋体" w:hAnsi="宋体" w:eastAsia="宋体" w:cs="宋体"/>
          <w:szCs w:val="22"/>
          <w:lang w:bidi="ar"/>
        </w:rPr>
        <w:t>投标人名称（盖单位章）：</w:t>
      </w:r>
    </w:p>
    <w:p w14:paraId="53EC9CFD">
      <w:pPr>
        <w:adjustRightInd w:val="0"/>
        <w:snapToGrid w:val="0"/>
        <w:spacing w:line="360" w:lineRule="auto"/>
        <w:rPr>
          <w:rFonts w:hint="eastAsia" w:ascii="宋体" w:hAnsi="宋体" w:eastAsia="宋体" w:cs="宋体"/>
        </w:rPr>
      </w:pPr>
      <w:r>
        <w:rPr>
          <w:rFonts w:hint="eastAsia" w:ascii="宋体" w:hAnsi="宋体" w:eastAsia="宋体" w:cs="宋体"/>
          <w:spacing w:val="-2"/>
          <w:kern w:val="0"/>
          <w:szCs w:val="22"/>
          <w:lang w:bidi="ar"/>
        </w:rPr>
        <w:t>法</w:t>
      </w:r>
      <w:r>
        <w:rPr>
          <w:rFonts w:hint="eastAsia" w:ascii="宋体" w:hAnsi="宋体" w:eastAsia="宋体" w:cs="宋体"/>
          <w:kern w:val="0"/>
          <w:szCs w:val="22"/>
          <w:lang w:bidi="ar"/>
        </w:rPr>
        <w:t>定</w:t>
      </w:r>
      <w:r>
        <w:rPr>
          <w:rFonts w:hint="eastAsia" w:ascii="宋体" w:hAnsi="宋体" w:eastAsia="宋体" w:cs="宋体"/>
          <w:spacing w:val="-2"/>
          <w:kern w:val="0"/>
          <w:szCs w:val="22"/>
          <w:lang w:bidi="ar"/>
        </w:rPr>
        <w:t>代</w:t>
      </w:r>
      <w:r>
        <w:rPr>
          <w:rFonts w:hint="eastAsia" w:ascii="宋体" w:hAnsi="宋体" w:eastAsia="宋体" w:cs="宋体"/>
          <w:kern w:val="0"/>
          <w:szCs w:val="22"/>
          <w:lang w:bidi="ar"/>
        </w:rPr>
        <w:t>表</w:t>
      </w:r>
      <w:r>
        <w:rPr>
          <w:rFonts w:hint="eastAsia" w:ascii="宋体" w:hAnsi="宋体" w:eastAsia="宋体" w:cs="宋体"/>
          <w:spacing w:val="-2"/>
          <w:kern w:val="0"/>
          <w:szCs w:val="22"/>
          <w:lang w:bidi="ar"/>
        </w:rPr>
        <w:t>人</w:t>
      </w:r>
      <w:r>
        <w:rPr>
          <w:rFonts w:hint="eastAsia" w:ascii="宋体" w:hAnsi="宋体" w:eastAsia="宋体" w:cs="宋体"/>
          <w:kern w:val="0"/>
          <w:szCs w:val="22"/>
          <w:lang w:bidi="ar"/>
        </w:rPr>
        <w:t>（</w:t>
      </w:r>
      <w:r>
        <w:rPr>
          <w:rFonts w:hint="eastAsia" w:ascii="宋体" w:hAnsi="宋体" w:eastAsia="宋体" w:cs="宋体"/>
          <w:spacing w:val="-2"/>
          <w:kern w:val="0"/>
          <w:szCs w:val="22"/>
          <w:lang w:bidi="ar"/>
        </w:rPr>
        <w:t>单</w:t>
      </w:r>
      <w:r>
        <w:rPr>
          <w:rFonts w:hint="eastAsia" w:ascii="宋体" w:hAnsi="宋体" w:eastAsia="宋体" w:cs="宋体"/>
          <w:kern w:val="0"/>
          <w:szCs w:val="22"/>
          <w:lang w:bidi="ar"/>
        </w:rPr>
        <w:t>位</w:t>
      </w:r>
      <w:r>
        <w:rPr>
          <w:rFonts w:hint="eastAsia" w:ascii="宋体" w:hAnsi="宋体" w:eastAsia="宋体" w:cs="宋体"/>
          <w:spacing w:val="-2"/>
          <w:kern w:val="0"/>
          <w:szCs w:val="22"/>
          <w:lang w:bidi="ar"/>
        </w:rPr>
        <w:t>负</w:t>
      </w:r>
      <w:r>
        <w:rPr>
          <w:rFonts w:hint="eastAsia" w:ascii="宋体" w:hAnsi="宋体" w:eastAsia="宋体" w:cs="宋体"/>
          <w:kern w:val="0"/>
          <w:szCs w:val="22"/>
          <w:lang w:bidi="ar"/>
        </w:rPr>
        <w:t>责人</w:t>
      </w:r>
      <w:r>
        <w:rPr>
          <w:rFonts w:hint="eastAsia" w:ascii="宋体" w:hAnsi="宋体" w:eastAsia="宋体" w:cs="宋体"/>
          <w:spacing w:val="-2"/>
          <w:kern w:val="0"/>
          <w:szCs w:val="22"/>
          <w:lang w:bidi="ar"/>
        </w:rPr>
        <w:t>）</w:t>
      </w:r>
      <w:r>
        <w:rPr>
          <w:rFonts w:hint="eastAsia" w:ascii="宋体" w:hAnsi="宋体" w:eastAsia="宋体" w:cs="宋体"/>
          <w:szCs w:val="22"/>
          <w:lang w:bidi="ar"/>
        </w:rPr>
        <w:t>或其授权的代理人（签字或印章）：</w:t>
      </w:r>
    </w:p>
    <w:p w14:paraId="374F809C">
      <w:pPr>
        <w:widowControl/>
        <w:jc w:val="left"/>
        <w:rPr>
          <w:rFonts w:ascii="Times New Roman" w:hAnsi="Times New Roman" w:eastAsia="宋体" w:cs="Times New Roman"/>
        </w:rPr>
      </w:pPr>
      <w:r>
        <w:rPr>
          <w:rFonts w:hint="eastAsia" w:ascii="宋体" w:hAnsi="宋体" w:eastAsia="宋体" w:cs="Times New Roman"/>
          <w:szCs w:val="22"/>
          <w:lang w:bidi="ar"/>
        </w:rPr>
        <w:t>日期：   年   月   日</w:t>
      </w:r>
    </w:p>
    <w:p w14:paraId="0005AD54">
      <w:pPr>
        <w:adjustRightInd w:val="0"/>
        <w:snapToGrid w:val="0"/>
        <w:spacing w:line="360" w:lineRule="auto"/>
        <w:rPr>
          <w:rFonts w:hint="eastAsia" w:ascii="宋体" w:hAnsi="宋体" w:eastAsia="宋体" w:cs="宋体"/>
          <w:szCs w:val="21"/>
        </w:rPr>
      </w:pPr>
    </w:p>
    <w:p w14:paraId="74D71C05">
      <w:pPr>
        <w:widowControl/>
        <w:jc w:val="left"/>
        <w:rPr>
          <w:rFonts w:hint="eastAsia" w:ascii="宋体" w:hAnsi="宋体" w:eastAsia="宋体" w:cs="宋体"/>
          <w:szCs w:val="21"/>
        </w:rPr>
      </w:pPr>
      <w:r>
        <w:rPr>
          <w:rFonts w:hint="eastAsia" w:ascii="宋体" w:hAnsi="宋体" w:eastAsia="宋体" w:cs="宋体"/>
          <w:szCs w:val="21"/>
        </w:rPr>
        <w:br w:type="page"/>
      </w:r>
    </w:p>
    <w:p w14:paraId="7B5AE7F8">
      <w:pPr>
        <w:keepNext/>
        <w:keepLines/>
        <w:widowControl w:val="0"/>
        <w:numPr>
          <w:ilvl w:val="0"/>
          <w:numId w:val="2"/>
        </w:numPr>
        <w:adjustRightInd w:val="0"/>
        <w:snapToGrid w:val="0"/>
        <w:spacing w:before="0" w:after="0" w:line="360" w:lineRule="auto"/>
        <w:jc w:val="center"/>
        <w:outlineLvl w:val="2"/>
        <w:rPr>
          <w:rFonts w:hint="eastAsia" w:ascii="宋体" w:hAnsi="宋体" w:eastAsia="宋体" w:cs="宋体"/>
          <w:b/>
          <w:bCs/>
          <w:kern w:val="2"/>
          <w:sz w:val="28"/>
          <w:szCs w:val="28"/>
          <w:lang w:val="en-US" w:eastAsia="zh-CN" w:bidi="ar-SA"/>
        </w:rPr>
      </w:pPr>
      <w:bookmarkStart w:id="144" w:name="_Toc13883"/>
      <w:bookmarkStart w:id="145" w:name="_Toc3810"/>
      <w:bookmarkStart w:id="146" w:name="_Toc23402"/>
      <w:bookmarkStart w:id="147" w:name="_Toc15993"/>
      <w:r>
        <w:rPr>
          <w:rFonts w:hint="eastAsia" w:ascii="宋体" w:hAnsi="宋体" w:eastAsia="宋体" w:cs="宋体"/>
          <w:b/>
          <w:bCs/>
          <w:kern w:val="2"/>
          <w:sz w:val="28"/>
          <w:szCs w:val="28"/>
          <w:lang w:val="en-US" w:eastAsia="zh-CN" w:bidi="ar-SA"/>
        </w:rPr>
        <w:t>投标保证金</w:t>
      </w:r>
      <w:bookmarkEnd w:id="144"/>
      <w:bookmarkEnd w:id="145"/>
      <w:bookmarkEnd w:id="146"/>
      <w:bookmarkEnd w:id="147"/>
    </w:p>
    <w:p w14:paraId="5A11270B">
      <w:pPr>
        <w:keepNext/>
        <w:keepLines/>
        <w:widowControl w:val="0"/>
        <w:numPr>
          <w:ilvl w:val="0"/>
          <w:numId w:val="0"/>
        </w:numPr>
        <w:adjustRightInd w:val="0"/>
        <w:snapToGrid w:val="0"/>
        <w:spacing w:before="0" w:after="0" w:line="360" w:lineRule="auto"/>
        <w:jc w:val="center"/>
        <w:outlineLvl w:val="2"/>
        <w:rPr>
          <w:rFonts w:hint="default" w:ascii="宋体" w:hAnsi="宋体" w:eastAsia="宋体" w:cs="宋体"/>
          <w:b/>
          <w:bCs/>
          <w:color w:val="FF0000"/>
          <w:kern w:val="2"/>
          <w:sz w:val="28"/>
          <w:szCs w:val="28"/>
          <w:lang w:val="en-US" w:eastAsia="zh-CN" w:bidi="ar-SA"/>
        </w:rPr>
      </w:pPr>
      <w:r>
        <w:rPr>
          <w:rFonts w:hint="eastAsia" w:ascii="宋体" w:hAnsi="宋体" w:eastAsia="宋体" w:cs="宋体"/>
          <w:b/>
          <w:bCs/>
          <w:color w:val="FF0000"/>
          <w:kern w:val="2"/>
          <w:sz w:val="28"/>
          <w:szCs w:val="28"/>
          <w:lang w:val="en-US" w:eastAsia="zh-CN" w:bidi="ar-SA"/>
        </w:rPr>
        <w:t>本项目无需缴纳投标保证金</w:t>
      </w:r>
    </w:p>
    <w:p w14:paraId="69822255">
      <w:pPr>
        <w:widowControl/>
        <w:spacing w:line="360" w:lineRule="auto"/>
        <w:ind w:firstLine="400" w:firstLineChars="200"/>
        <w:jc w:val="left"/>
        <w:rPr>
          <w:rFonts w:hint="eastAsia" w:ascii="宋体" w:hAnsi="宋体" w:eastAsia="宋体" w:cs="宋体"/>
          <w:kern w:val="0"/>
          <w:sz w:val="20"/>
          <w:szCs w:val="20"/>
          <w:lang w:bidi="ar"/>
        </w:rPr>
      </w:pPr>
      <w:r>
        <w:rPr>
          <w:rFonts w:hint="eastAsia" w:ascii="宋体" w:hAnsi="宋体" w:eastAsia="宋体" w:cs="宋体"/>
          <w:kern w:val="0"/>
          <w:sz w:val="20"/>
          <w:szCs w:val="20"/>
          <w:lang w:bidi="ar"/>
        </w:rPr>
        <w:t>采用电子保函的提供电子保函复印件或扫描件；采用银行转账的提供投标人基本账户开户许可证和本项目投标保证金银行进账单或转账凭证的复印件或扫描件。</w:t>
      </w:r>
    </w:p>
    <w:p w14:paraId="406BFFDB">
      <w:pPr>
        <w:widowControl/>
        <w:spacing w:line="360" w:lineRule="auto"/>
        <w:ind w:firstLine="400" w:firstLineChars="200"/>
        <w:jc w:val="left"/>
        <w:rPr>
          <w:rFonts w:hint="eastAsia" w:ascii="宋体" w:hAnsi="宋体" w:eastAsia="宋体" w:cs="宋体"/>
          <w:kern w:val="0"/>
          <w:sz w:val="20"/>
          <w:szCs w:val="20"/>
          <w:lang w:bidi="ar"/>
        </w:rPr>
      </w:pPr>
    </w:p>
    <w:p w14:paraId="0A433A65">
      <w:pPr>
        <w:widowControl/>
        <w:spacing w:line="360" w:lineRule="auto"/>
        <w:ind w:firstLine="400" w:firstLineChars="200"/>
        <w:jc w:val="left"/>
        <w:rPr>
          <w:rFonts w:ascii="Times New Roman" w:hAnsi="Times New Roman" w:eastAsia="宋体" w:cs="Times New Roman"/>
        </w:rPr>
      </w:pPr>
      <w:r>
        <w:rPr>
          <w:rFonts w:hint="eastAsia" w:ascii="宋体" w:hAnsi="宋体" w:eastAsia="宋体" w:cs="宋体"/>
          <w:kern w:val="0"/>
          <w:sz w:val="20"/>
          <w:szCs w:val="20"/>
          <w:lang w:bidi="ar"/>
        </w:rPr>
        <w:t>1、递交方式：</w:t>
      </w:r>
      <w:r>
        <w:rPr>
          <w:rFonts w:hint="eastAsia" w:ascii="宋体" w:hAnsi="宋体" w:eastAsia="宋体" w:cs="宋体"/>
          <w:b/>
          <w:bCs/>
          <w:kern w:val="0"/>
          <w:sz w:val="20"/>
          <w:szCs w:val="20"/>
          <w:lang w:bidi="ar"/>
        </w:rPr>
        <w:t>银行转账</w:t>
      </w:r>
      <w:r>
        <w:rPr>
          <w:rFonts w:hint="eastAsia" w:ascii="宋体" w:hAnsi="宋体" w:eastAsia="宋体" w:cs="宋体"/>
          <w:kern w:val="0"/>
          <w:sz w:val="20"/>
          <w:szCs w:val="20"/>
          <w:lang w:bidi="ar"/>
        </w:rPr>
        <w:t>或</w:t>
      </w:r>
      <w:r>
        <w:rPr>
          <w:rFonts w:hint="eastAsia" w:ascii="宋体" w:hAnsi="宋体" w:eastAsia="宋体" w:cs="宋体"/>
          <w:b/>
          <w:bCs/>
          <w:kern w:val="0"/>
          <w:sz w:val="20"/>
          <w:szCs w:val="20"/>
          <w:lang w:bidi="ar"/>
        </w:rPr>
        <w:t>电子保函</w:t>
      </w:r>
      <w:r>
        <w:rPr>
          <w:rFonts w:hint="eastAsia" w:ascii="宋体" w:hAnsi="宋体" w:eastAsia="宋体" w:cs="宋体"/>
          <w:kern w:val="0"/>
          <w:sz w:val="20"/>
          <w:szCs w:val="20"/>
          <w:lang w:bidi="ar"/>
        </w:rPr>
        <w:t xml:space="preserve">。 </w:t>
      </w:r>
    </w:p>
    <w:p w14:paraId="5023F342">
      <w:pPr>
        <w:widowControl/>
        <w:wordWrap w:val="0"/>
        <w:spacing w:line="360" w:lineRule="auto"/>
        <w:ind w:firstLine="400" w:firstLineChars="200"/>
        <w:jc w:val="left"/>
        <w:rPr>
          <w:rFonts w:hint="eastAsia" w:ascii="宋体" w:hAnsi="宋体" w:eastAsia="宋体" w:cs="宋体"/>
          <w:kern w:val="0"/>
          <w:sz w:val="20"/>
          <w:szCs w:val="20"/>
          <w:lang w:bidi="ar"/>
        </w:rPr>
      </w:pPr>
      <w:r>
        <w:rPr>
          <w:rFonts w:hint="eastAsia" w:ascii="宋体" w:hAnsi="宋体" w:eastAsia="宋体" w:cs="宋体"/>
          <w:kern w:val="0"/>
          <w:sz w:val="20"/>
          <w:szCs w:val="20"/>
          <w:lang w:bidi="ar"/>
        </w:rPr>
        <w:t>1.1、</w:t>
      </w:r>
      <w:r>
        <w:rPr>
          <w:rFonts w:hint="eastAsia" w:ascii="宋体" w:hAnsi="宋体" w:eastAsia="宋体" w:cs="宋体"/>
          <w:b/>
          <w:bCs/>
          <w:kern w:val="0"/>
          <w:sz w:val="20"/>
          <w:szCs w:val="20"/>
          <w:lang w:bidi="ar"/>
        </w:rPr>
        <w:t>电子保函：</w:t>
      </w:r>
      <w:r>
        <w:rPr>
          <w:rFonts w:hint="eastAsia" w:ascii="宋体" w:hAnsi="宋体" w:eastAsia="宋体" w:cs="宋体"/>
          <w:kern w:val="0"/>
          <w:sz w:val="20"/>
          <w:szCs w:val="20"/>
          <w:lang w:bidi="ar"/>
        </w:rPr>
        <w:t>包括银行电子保函、电子担保保函、投标保证保险。电子保函可通过株洲市公共 资 源 交 易 中 心 官 网 首 页 进 入 “ 电 子 保 函 ” 模 块 进 行 申 请 ， 也 可 以 登 录http：//hxbh.hnhxzx.cn：20080 进行电子保函申请。具体操作请登录株洲市公共资源交易中心门户网站—操作指南—《株洲市电子保函服务平台政府采购投标人操作手册》了解。</w:t>
      </w:r>
    </w:p>
    <w:p w14:paraId="0E37F828">
      <w:pPr>
        <w:widowControl/>
        <w:spacing w:line="360" w:lineRule="auto"/>
        <w:ind w:firstLine="400" w:firstLineChars="200"/>
        <w:jc w:val="left"/>
        <w:rPr>
          <w:rFonts w:ascii="Times New Roman" w:hAnsi="Times New Roman" w:eastAsia="宋体" w:cs="Times New Roman"/>
        </w:rPr>
      </w:pPr>
      <w:r>
        <w:rPr>
          <w:rFonts w:hint="eastAsia" w:ascii="宋体" w:hAnsi="宋体" w:eastAsia="宋体" w:cs="宋体"/>
          <w:kern w:val="0"/>
          <w:sz w:val="20"/>
          <w:szCs w:val="20"/>
          <w:lang w:bidi="ar"/>
        </w:rPr>
        <w:t>1.2、</w:t>
      </w:r>
      <w:r>
        <w:rPr>
          <w:rFonts w:hint="eastAsia" w:ascii="宋体" w:hAnsi="宋体" w:eastAsia="宋体" w:cs="宋体"/>
          <w:b/>
          <w:bCs/>
          <w:kern w:val="0"/>
          <w:sz w:val="20"/>
          <w:szCs w:val="20"/>
          <w:lang w:bidi="ar"/>
        </w:rPr>
        <w:t>银行转账</w:t>
      </w:r>
      <w:r>
        <w:rPr>
          <w:rFonts w:hint="eastAsia" w:ascii="宋体" w:hAnsi="宋体" w:eastAsia="宋体" w:cs="宋体"/>
          <w:kern w:val="0"/>
          <w:sz w:val="20"/>
          <w:szCs w:val="20"/>
          <w:lang w:bidi="ar"/>
        </w:rPr>
        <w:t>：递交方式：投标保证金必须是从投标人单位</w:t>
      </w:r>
      <w:r>
        <w:rPr>
          <w:rFonts w:hint="eastAsia" w:ascii="宋体" w:hAnsi="宋体" w:eastAsia="宋体" w:cs="宋体"/>
          <w:b/>
          <w:bCs/>
          <w:kern w:val="0"/>
          <w:sz w:val="20"/>
          <w:szCs w:val="20"/>
          <w:lang w:bidi="ar"/>
        </w:rPr>
        <w:t>基本账户</w:t>
      </w:r>
      <w:r>
        <w:rPr>
          <w:rFonts w:hint="eastAsia" w:ascii="宋体" w:hAnsi="宋体" w:eastAsia="宋体" w:cs="宋体"/>
          <w:kern w:val="0"/>
          <w:sz w:val="20"/>
          <w:szCs w:val="20"/>
          <w:lang w:bidi="ar"/>
        </w:rPr>
        <w:t>转（汇）入投标保证金的托管账户管理，以现金方式和非投标人单位账户提交的投标保证金无效；投标保证金托管账户如下：</w:t>
      </w:r>
    </w:p>
    <w:p w14:paraId="1437CD75">
      <w:pPr>
        <w:widowControl/>
        <w:spacing w:line="360" w:lineRule="auto"/>
        <w:ind w:firstLine="402" w:firstLineChars="200"/>
        <w:jc w:val="left"/>
        <w:rPr>
          <w:rFonts w:ascii="Times New Roman" w:hAnsi="Times New Roman" w:eastAsia="宋体" w:cs="Times New Roman"/>
        </w:rPr>
      </w:pPr>
      <w:r>
        <w:rPr>
          <w:rFonts w:hint="eastAsia" w:ascii="宋体" w:hAnsi="宋体" w:eastAsia="宋体" w:cs="宋体"/>
          <w:b/>
          <w:bCs/>
          <w:kern w:val="0"/>
          <w:sz w:val="20"/>
          <w:szCs w:val="20"/>
          <w:lang w:bidi="ar"/>
        </w:rPr>
        <w:t xml:space="preserve">账户名称：株洲市公共资源交易中心交易保证金专户 </w:t>
      </w:r>
    </w:p>
    <w:p w14:paraId="3BD1BA73">
      <w:pPr>
        <w:widowControl/>
        <w:spacing w:line="360" w:lineRule="auto"/>
        <w:ind w:firstLine="402" w:firstLineChars="200"/>
        <w:jc w:val="left"/>
        <w:rPr>
          <w:rFonts w:ascii="Times New Roman" w:hAnsi="Times New Roman" w:eastAsia="宋体" w:cs="Times New Roman"/>
        </w:rPr>
      </w:pPr>
      <w:r>
        <w:rPr>
          <w:rFonts w:hint="eastAsia" w:ascii="宋体" w:hAnsi="宋体" w:eastAsia="宋体" w:cs="宋体"/>
          <w:b/>
          <w:bCs/>
          <w:kern w:val="0"/>
          <w:sz w:val="20"/>
          <w:szCs w:val="20"/>
          <w:lang w:bidi="ar"/>
        </w:rPr>
        <w:t xml:space="preserve">开户银行：中国建设银行股份有限公司株洲湘银支行 </w:t>
      </w:r>
    </w:p>
    <w:p w14:paraId="77EAA969">
      <w:pPr>
        <w:widowControl/>
        <w:spacing w:line="360" w:lineRule="auto"/>
        <w:ind w:firstLine="402" w:firstLineChars="200"/>
        <w:jc w:val="left"/>
        <w:rPr>
          <w:rFonts w:hint="eastAsia" w:ascii="宋体" w:hAnsi="宋体" w:eastAsia="宋体" w:cs="宋体"/>
          <w:b/>
          <w:bCs/>
          <w:kern w:val="0"/>
          <w:sz w:val="20"/>
          <w:szCs w:val="20"/>
          <w:lang w:bidi="ar"/>
        </w:rPr>
      </w:pPr>
      <w:r>
        <w:rPr>
          <w:rFonts w:hint="eastAsia" w:ascii="宋体" w:hAnsi="宋体" w:eastAsia="宋体" w:cs="宋体"/>
          <w:b/>
          <w:bCs/>
          <w:kern w:val="0"/>
          <w:sz w:val="20"/>
          <w:szCs w:val="20"/>
          <w:lang w:bidi="ar"/>
        </w:rPr>
        <w:t>银行账号：</w:t>
      </w:r>
    </w:p>
    <w:p w14:paraId="007226F8">
      <w:pPr>
        <w:widowControl/>
        <w:spacing w:line="360" w:lineRule="auto"/>
        <w:ind w:firstLine="402" w:firstLineChars="200"/>
        <w:jc w:val="left"/>
        <w:rPr>
          <w:rFonts w:hint="eastAsia" w:ascii="宋体" w:hAnsi="宋体" w:eastAsia="宋体" w:cs="宋体"/>
          <w:b/>
          <w:bCs/>
          <w:kern w:val="0"/>
          <w:sz w:val="20"/>
          <w:szCs w:val="20"/>
          <w:lang w:bidi="ar"/>
        </w:rPr>
      </w:pPr>
      <w:r>
        <w:rPr>
          <w:rFonts w:hint="eastAsia" w:ascii="宋体" w:hAnsi="宋体" w:eastAsia="宋体" w:cs="宋体"/>
          <w:b/>
          <w:bCs/>
          <w:kern w:val="0"/>
          <w:sz w:val="20"/>
          <w:szCs w:val="20"/>
          <w:lang w:bidi="ar"/>
        </w:rPr>
        <w:t>包1：4300 1500 5620 5966 6666-*****</w:t>
      </w:r>
    </w:p>
    <w:p w14:paraId="364DBB75">
      <w:pPr>
        <w:widowControl/>
        <w:spacing w:line="360" w:lineRule="auto"/>
        <w:ind w:firstLine="400" w:firstLineChars="200"/>
        <w:jc w:val="left"/>
        <w:rPr>
          <w:rFonts w:hint="eastAsia" w:ascii="宋体" w:hAnsi="宋体" w:eastAsia="宋体" w:cs="宋体"/>
          <w:kern w:val="0"/>
          <w:sz w:val="20"/>
          <w:szCs w:val="20"/>
          <w:lang w:bidi="ar"/>
        </w:rPr>
      </w:pPr>
      <w:r>
        <w:rPr>
          <w:rFonts w:hint="eastAsia" w:ascii="宋体" w:hAnsi="宋体" w:eastAsia="宋体" w:cs="宋体"/>
          <w:kern w:val="0"/>
          <w:sz w:val="20"/>
          <w:szCs w:val="20"/>
          <w:lang w:bidi="ar"/>
        </w:rPr>
        <w:t>该账号仅为此项目的保证金托管账户，请勿与其它项目的账号混淆，发生串户则视为无效保证金。</w:t>
      </w:r>
    </w:p>
    <w:p w14:paraId="5F1D364B">
      <w:pPr>
        <w:widowControl/>
        <w:numPr>
          <w:ilvl w:val="0"/>
          <w:numId w:val="3"/>
        </w:numPr>
        <w:spacing w:line="360" w:lineRule="auto"/>
        <w:ind w:firstLine="400" w:firstLineChars="200"/>
        <w:jc w:val="left"/>
        <w:rPr>
          <w:rFonts w:ascii="Times New Roman" w:hAnsi="Times New Roman" w:eastAsia="宋体" w:cs="Times New Roman"/>
        </w:rPr>
      </w:pPr>
      <w:r>
        <w:rPr>
          <w:rFonts w:hint="eastAsia" w:ascii="宋体" w:hAnsi="宋体" w:eastAsia="宋体" w:cs="宋体"/>
          <w:kern w:val="0"/>
          <w:sz w:val="20"/>
          <w:szCs w:val="20"/>
          <w:lang w:bidi="ar"/>
        </w:rPr>
        <w:t xml:space="preserve">在转账票据摘要处须注明：“ （项目名称）投标保证金”。（如“项目名称”字符过多，转账票据摘要处填写不下的，则“取‘项目名称’前面字符”填入。） </w:t>
      </w:r>
    </w:p>
    <w:p w14:paraId="7EB8C8CA">
      <w:pPr>
        <w:widowControl/>
        <w:numPr>
          <w:ilvl w:val="0"/>
          <w:numId w:val="3"/>
        </w:numPr>
        <w:spacing w:line="360" w:lineRule="auto"/>
        <w:ind w:firstLine="400" w:firstLineChars="200"/>
        <w:jc w:val="left"/>
        <w:rPr>
          <w:rFonts w:ascii="Times New Roman" w:hAnsi="Times New Roman" w:eastAsia="宋体" w:cs="Times New Roman"/>
        </w:rPr>
      </w:pPr>
      <w:r>
        <w:rPr>
          <w:rFonts w:hint="eastAsia" w:ascii="宋体" w:hAnsi="宋体" w:eastAsia="宋体" w:cs="宋体"/>
          <w:kern w:val="0"/>
          <w:sz w:val="20"/>
          <w:szCs w:val="20"/>
          <w:lang w:bidi="ar"/>
        </w:rPr>
        <w:t xml:space="preserve">投标保证金到帐截止时间为投标截止时间。（为确保投标保证金按时到账，请投标人于开标日前一个工作日下午 3：00 前提交，并注意交纳保证金的银行账号中含有“-”号。） </w:t>
      </w:r>
    </w:p>
    <w:p w14:paraId="11FBDCA8">
      <w:pPr>
        <w:widowControl/>
        <w:spacing w:line="360" w:lineRule="auto"/>
        <w:ind w:firstLine="400" w:firstLineChars="200"/>
        <w:jc w:val="left"/>
        <w:rPr>
          <w:rFonts w:ascii="Times New Roman" w:hAnsi="Times New Roman" w:eastAsia="宋体" w:cs="Times New Roman"/>
        </w:rPr>
      </w:pPr>
      <w:r>
        <w:rPr>
          <w:rFonts w:hint="eastAsia" w:ascii="宋体" w:hAnsi="宋体" w:eastAsia="宋体" w:cs="宋体"/>
          <w:kern w:val="0"/>
          <w:sz w:val="20"/>
          <w:szCs w:val="20"/>
          <w:lang w:bidi="ar"/>
        </w:rPr>
        <w:t xml:space="preserve">特别提示： </w:t>
      </w:r>
    </w:p>
    <w:p w14:paraId="064CC278">
      <w:pPr>
        <w:widowControl/>
        <w:spacing w:line="360" w:lineRule="auto"/>
        <w:ind w:firstLine="400" w:firstLineChars="200"/>
        <w:jc w:val="left"/>
        <w:rPr>
          <w:rFonts w:ascii="Times New Roman" w:hAnsi="Times New Roman" w:eastAsia="宋体" w:cs="Times New Roman"/>
        </w:rPr>
      </w:pPr>
      <w:r>
        <w:rPr>
          <w:rFonts w:hint="eastAsia" w:ascii="宋体" w:hAnsi="宋体" w:eastAsia="宋体" w:cs="宋体"/>
          <w:kern w:val="0"/>
          <w:sz w:val="20"/>
          <w:szCs w:val="20"/>
          <w:lang w:bidi="ar"/>
        </w:rPr>
        <w:t xml:space="preserve">① 投标保证金汇款服务咨询：中国建设银行股份有限公司株洲湘银支行 </w:t>
      </w:r>
    </w:p>
    <w:p w14:paraId="49CD3A3A">
      <w:pPr>
        <w:widowControl/>
        <w:spacing w:line="360" w:lineRule="auto"/>
        <w:ind w:firstLine="400" w:firstLineChars="200"/>
        <w:jc w:val="left"/>
        <w:rPr>
          <w:rFonts w:ascii="Times New Roman" w:hAnsi="Times New Roman" w:eastAsia="宋体" w:cs="Times New Roman"/>
        </w:rPr>
      </w:pPr>
      <w:r>
        <w:rPr>
          <w:rFonts w:hint="eastAsia" w:ascii="宋体" w:hAnsi="宋体" w:eastAsia="宋体" w:cs="宋体"/>
          <w:kern w:val="0"/>
          <w:sz w:val="20"/>
          <w:szCs w:val="20"/>
          <w:lang w:bidi="ar"/>
        </w:rPr>
        <w:t xml:space="preserve">0731-28520852（联系人：黄朝辉） 和 0731-22864427（联系人：刘岚）。 </w:t>
      </w:r>
    </w:p>
    <w:p w14:paraId="613FAB98">
      <w:pPr>
        <w:widowControl/>
        <w:spacing w:line="360" w:lineRule="auto"/>
        <w:ind w:firstLine="402" w:firstLineChars="200"/>
        <w:jc w:val="left"/>
        <w:rPr>
          <w:rFonts w:ascii="Times New Roman" w:hAnsi="Times New Roman" w:eastAsia="宋体" w:cs="Times New Roman"/>
        </w:rPr>
      </w:pPr>
      <w:r>
        <w:rPr>
          <w:rFonts w:hint="eastAsia" w:ascii="宋体" w:hAnsi="宋体" w:eastAsia="宋体" w:cs="宋体"/>
          <w:b/>
          <w:bCs/>
          <w:kern w:val="0"/>
          <w:sz w:val="20"/>
          <w:szCs w:val="20"/>
          <w:lang w:bidi="ar"/>
        </w:rPr>
        <w:t xml:space="preserve">② 开标现场将展示投标保证金情况，各投标人仅须在投标文件中提供投标人账户开户许可证和银行进账单的复印件或扫描件。如投标人基本账户被冻结，须提交申请从投标人名称一致的其他账户转入投标保证金，并提供法院出具的协助冻结存款通知书复印件，请投标人认真阅读关于投标保证金缴纳的规定，并严格执行，防止投标保证金缴纳出现失误。 </w:t>
      </w:r>
    </w:p>
    <w:p w14:paraId="62A6CEF7">
      <w:pPr>
        <w:widowControl/>
        <w:spacing w:line="360" w:lineRule="auto"/>
        <w:ind w:firstLine="402" w:firstLineChars="200"/>
        <w:jc w:val="left"/>
        <w:rPr>
          <w:rFonts w:ascii="Times New Roman" w:hAnsi="Times New Roman" w:eastAsia="宋体" w:cs="Times New Roman"/>
        </w:rPr>
      </w:pPr>
      <w:r>
        <w:rPr>
          <w:rFonts w:hint="eastAsia" w:ascii="宋体" w:hAnsi="宋体" w:eastAsia="宋体" w:cs="宋体"/>
          <w:b/>
          <w:bCs/>
          <w:kern w:val="0"/>
          <w:sz w:val="20"/>
          <w:szCs w:val="20"/>
          <w:lang w:bidi="ar"/>
        </w:rPr>
        <w:t xml:space="preserve">③因银行和收款方在开标前均无法查询保证金到账情况，建议投标人尽量提前递交投标保证金，并密切关注是否有被退回的情况，避免因未按招标文件要求递交投标保证金而导致废标。 </w:t>
      </w:r>
      <w:r>
        <w:rPr>
          <w:rFonts w:hint="eastAsia" w:ascii="宋体" w:hAnsi="宋体" w:eastAsia="宋体" w:cs="宋体"/>
          <w:kern w:val="0"/>
          <w:sz w:val="20"/>
          <w:szCs w:val="20"/>
          <w:lang w:bidi="ar"/>
        </w:rPr>
        <w:t xml:space="preserve"> </w:t>
      </w:r>
    </w:p>
    <w:p w14:paraId="345ED763">
      <w:pPr>
        <w:widowControl/>
        <w:spacing w:line="360" w:lineRule="auto"/>
        <w:ind w:firstLine="402" w:firstLineChars="200"/>
        <w:jc w:val="left"/>
        <w:rPr>
          <w:rFonts w:ascii="Times New Roman" w:hAnsi="Times New Roman" w:eastAsia="宋体" w:cs="Times New Roman"/>
        </w:rPr>
      </w:pPr>
      <w:r>
        <w:rPr>
          <w:rFonts w:hint="eastAsia" w:ascii="宋体" w:hAnsi="宋体" w:eastAsia="宋体" w:cs="宋体"/>
          <w:b/>
          <w:bCs/>
          <w:kern w:val="0"/>
          <w:sz w:val="20"/>
          <w:szCs w:val="20"/>
          <w:lang w:bidi="ar"/>
        </w:rPr>
        <w:t xml:space="preserve">2、投标人不按招标文件要求提交投标保证金的，视为不合格投标人。 </w:t>
      </w:r>
    </w:p>
    <w:p w14:paraId="3579BBE5">
      <w:pPr>
        <w:spacing w:after="156" w:line="360" w:lineRule="auto"/>
        <w:ind w:firstLine="400" w:firstLineChars="200"/>
        <w:rPr>
          <w:rFonts w:hint="eastAsia" w:ascii="宋体" w:hAnsi="宋体" w:eastAsia="宋体" w:cs="宋体"/>
          <w:bCs/>
        </w:rPr>
      </w:pPr>
      <w:r>
        <w:rPr>
          <w:rFonts w:hint="eastAsia" w:ascii="宋体" w:hAnsi="宋体" w:eastAsia="宋体" w:cs="宋体"/>
          <w:kern w:val="0"/>
          <w:sz w:val="20"/>
          <w:szCs w:val="20"/>
          <w:lang w:bidi="ar"/>
        </w:rPr>
        <w:t>3、</w:t>
      </w:r>
      <w:r>
        <w:rPr>
          <w:rFonts w:hint="eastAsia" w:ascii="宋体" w:hAnsi="宋体" w:eastAsia="宋体" w:cs="宋体"/>
          <w:b/>
        </w:rPr>
        <w:t>未中标人</w:t>
      </w:r>
      <w:r>
        <w:rPr>
          <w:rFonts w:hint="eastAsia" w:ascii="宋体" w:hAnsi="宋体" w:eastAsia="宋体" w:cs="宋体"/>
          <w:bCs/>
        </w:rPr>
        <w:t>的投标保证金在中标通知书发出后五个工作日内由银行自动退还给投标人。</w:t>
      </w:r>
      <w:r>
        <w:rPr>
          <w:rFonts w:hint="eastAsia" w:ascii="宋体" w:hAnsi="宋体" w:eastAsia="宋体" w:cs="宋体"/>
          <w:b/>
        </w:rPr>
        <w:t>中标人</w:t>
      </w:r>
      <w:r>
        <w:rPr>
          <w:rFonts w:hint="eastAsia" w:ascii="宋体" w:hAnsi="宋体" w:eastAsia="宋体" w:cs="宋体"/>
          <w:bCs/>
        </w:rPr>
        <w:t>于合同签订之日起五个工作日内将退款申请及付款凭证发至项目代理机构，代理机构在交易系统上传退款申请、付款凭证、公共资源交易中心进场交易确认书后退款至原缴款账户。株洲市公共资源交易中心一楼服务大厅3号保证金窗口联系电话：0731-28681387。</w:t>
      </w:r>
    </w:p>
    <w:p w14:paraId="1A2A0C3F">
      <w:pPr>
        <w:adjustRightInd w:val="0"/>
        <w:snapToGrid w:val="0"/>
        <w:spacing w:before="161" w:beforeLines="50" w:line="360" w:lineRule="auto"/>
        <w:ind w:firstLine="420" w:firstLineChars="200"/>
        <w:jc w:val="left"/>
        <w:rPr>
          <w:rFonts w:hint="eastAsia" w:ascii="宋体" w:hAnsi="宋体" w:eastAsia="宋体" w:cs="宋体"/>
          <w:snapToGrid w:val="0"/>
        </w:rPr>
      </w:pPr>
      <w:r>
        <w:rPr>
          <w:rFonts w:hint="eastAsia" w:ascii="宋体" w:hAnsi="宋体" w:eastAsia="宋体" w:cs="宋体"/>
          <w:snapToGrid w:val="0"/>
        </w:rPr>
        <w:t>附退款申请格式：</w:t>
      </w:r>
    </w:p>
    <w:tbl>
      <w:tblPr>
        <w:tblStyle w:val="3"/>
        <w:tblW w:w="9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40"/>
      </w:tblGrid>
      <w:tr w14:paraId="1A7ED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9040" w:type="dxa"/>
          </w:tcPr>
          <w:p w14:paraId="5A248E5F">
            <w:pPr>
              <w:spacing w:after="156" w:line="360" w:lineRule="exact"/>
              <w:jc w:val="center"/>
              <w:rPr>
                <w:rFonts w:hint="eastAsia" w:ascii="宋体" w:hAnsi="宋体" w:eastAsia="宋体" w:cs="宋体"/>
              </w:rPr>
            </w:pPr>
            <w:r>
              <w:rPr>
                <w:rFonts w:hint="eastAsia" w:ascii="宋体" w:hAnsi="宋体" w:eastAsia="宋体" w:cs="宋体"/>
                <w:b/>
                <w:snapToGrid w:val="0"/>
              </w:rPr>
              <w:t>退款申请</w:t>
            </w:r>
          </w:p>
          <w:p w14:paraId="4776C946">
            <w:pPr>
              <w:adjustRightInd w:val="0"/>
              <w:snapToGrid w:val="0"/>
              <w:spacing w:before="161" w:beforeLines="50" w:line="360" w:lineRule="auto"/>
              <w:rPr>
                <w:rFonts w:hint="eastAsia" w:ascii="宋体" w:hAnsi="宋体" w:eastAsia="宋体" w:cs="宋体"/>
                <w:snapToGrid w:val="0"/>
              </w:rPr>
            </w:pPr>
            <w:r>
              <w:rPr>
                <w:rFonts w:hint="eastAsia" w:ascii="宋体" w:hAnsi="宋体" w:eastAsia="宋体" w:cs="宋体"/>
                <w:b/>
                <w:snapToGrid w:val="0"/>
              </w:rPr>
              <w:t>株洲市公共资源交易中心</w:t>
            </w:r>
            <w:r>
              <w:rPr>
                <w:rFonts w:hint="eastAsia" w:ascii="宋体" w:hAnsi="宋体" w:eastAsia="宋体" w:cs="宋体"/>
                <w:snapToGrid w:val="0"/>
              </w:rPr>
              <w:t>：</w:t>
            </w:r>
          </w:p>
          <w:p w14:paraId="33145873">
            <w:pPr>
              <w:adjustRightInd w:val="0"/>
              <w:snapToGrid w:val="0"/>
              <w:spacing w:before="161" w:beforeLines="50" w:line="360" w:lineRule="auto"/>
              <w:ind w:firstLine="420"/>
              <w:rPr>
                <w:rFonts w:hint="eastAsia" w:ascii="宋体" w:hAnsi="宋体" w:eastAsia="宋体" w:cs="宋体"/>
                <w:snapToGrid w:val="0"/>
              </w:rPr>
            </w:pPr>
            <w:r>
              <w:rPr>
                <w:rFonts w:hint="eastAsia" w:ascii="宋体" w:hAnsi="宋体" w:eastAsia="宋体" w:cs="宋体"/>
                <w:snapToGrid w:val="0"/>
              </w:rPr>
              <w:t>我单位于年月日，参加项目，汇入投标保证金元。现确定为成交投标人，并已与采购人签订采购合同，特申请退回此笔投标保证金。另附我单位投标保证金付款凭证复印件、开户许可证复印件、公共资源交易中心进场交易确认书复印件。</w:t>
            </w:r>
          </w:p>
          <w:p w14:paraId="2E91FB56">
            <w:pPr>
              <w:adjustRightInd w:val="0"/>
              <w:snapToGrid w:val="0"/>
              <w:spacing w:before="161" w:beforeLines="50" w:line="360" w:lineRule="auto"/>
              <w:ind w:firstLine="420"/>
              <w:rPr>
                <w:rFonts w:hint="eastAsia" w:ascii="宋体" w:hAnsi="宋体" w:eastAsia="宋体" w:cs="宋体"/>
                <w:snapToGrid w:val="0"/>
              </w:rPr>
            </w:pPr>
            <w:r>
              <w:rPr>
                <w:rFonts w:hint="eastAsia" w:ascii="宋体" w:hAnsi="宋体" w:eastAsia="宋体" w:cs="宋体"/>
                <w:snapToGrid w:val="0"/>
              </w:rPr>
              <w:t>特此申请！</w:t>
            </w:r>
          </w:p>
          <w:p w14:paraId="3163D7A1">
            <w:pPr>
              <w:adjustRightInd w:val="0"/>
              <w:snapToGrid w:val="0"/>
              <w:spacing w:before="161" w:beforeLines="50" w:line="360" w:lineRule="auto"/>
              <w:ind w:firstLine="420"/>
              <w:jc w:val="left"/>
              <w:rPr>
                <w:rFonts w:hint="eastAsia" w:ascii="宋体" w:hAnsi="宋体" w:eastAsia="宋体" w:cs="宋体"/>
                <w:snapToGrid w:val="0"/>
              </w:rPr>
            </w:pPr>
          </w:p>
          <w:p w14:paraId="5E53F69B">
            <w:pPr>
              <w:spacing w:after="156" w:line="360" w:lineRule="exact"/>
              <w:ind w:firstLine="420"/>
              <w:jc w:val="left"/>
              <w:rPr>
                <w:rFonts w:hint="eastAsia" w:ascii="宋体" w:hAnsi="宋体" w:eastAsia="宋体" w:cs="宋体"/>
                <w:snapToGrid w:val="0"/>
              </w:rPr>
            </w:pPr>
            <w:r>
              <w:rPr>
                <w:rFonts w:hint="eastAsia" w:ascii="宋体" w:hAnsi="宋体" w:eastAsia="宋体" w:cs="宋体"/>
                <w:snapToGrid w:val="0"/>
              </w:rPr>
              <w:t>投标人：（公章）</w:t>
            </w:r>
          </w:p>
          <w:p w14:paraId="56287E36">
            <w:pPr>
              <w:spacing w:after="156" w:line="360" w:lineRule="exact"/>
              <w:ind w:firstLine="420"/>
              <w:jc w:val="right"/>
              <w:rPr>
                <w:rFonts w:hint="eastAsia" w:ascii="宋体" w:hAnsi="宋体" w:eastAsia="宋体" w:cs="宋体"/>
                <w:snapToGrid w:val="0"/>
              </w:rPr>
            </w:pPr>
            <w:r>
              <w:rPr>
                <w:rFonts w:hint="eastAsia" w:ascii="宋体" w:hAnsi="宋体" w:eastAsia="宋体" w:cs="宋体"/>
                <w:snapToGrid w:val="0"/>
              </w:rPr>
              <w:t>年月日</w:t>
            </w:r>
          </w:p>
          <w:p w14:paraId="6A7EB8A7">
            <w:pPr>
              <w:spacing w:after="156" w:line="360" w:lineRule="exact"/>
              <w:ind w:firstLine="420"/>
              <w:rPr>
                <w:rFonts w:hint="eastAsia" w:ascii="宋体" w:hAnsi="宋体" w:eastAsia="宋体" w:cs="宋体"/>
                <w:b/>
                <w:snapToGrid w:val="0"/>
              </w:rPr>
            </w:pPr>
            <w:r>
              <w:rPr>
                <w:rFonts w:hint="eastAsia" w:ascii="宋体" w:hAnsi="宋体" w:eastAsia="宋体" w:cs="宋体"/>
                <w:snapToGrid w:val="0"/>
              </w:rPr>
              <w:t>采购人：（意见加盖公章）                                                  年月日</w:t>
            </w:r>
          </w:p>
        </w:tc>
      </w:tr>
    </w:tbl>
    <w:p w14:paraId="0E7596FE">
      <w:pPr>
        <w:adjustRightInd w:val="0"/>
        <w:snapToGrid w:val="0"/>
        <w:spacing w:line="360" w:lineRule="auto"/>
        <w:ind w:firstLine="422" w:firstLineChars="200"/>
        <w:rPr>
          <w:rFonts w:hint="eastAsia" w:ascii="宋体" w:hAnsi="宋体" w:eastAsia="宋体" w:cs="宋体"/>
          <w:b/>
          <w:snapToGrid w:val="0"/>
        </w:rPr>
      </w:pPr>
      <w:r>
        <w:rPr>
          <w:rFonts w:hint="eastAsia" w:ascii="宋体" w:hAnsi="宋体" w:eastAsia="宋体" w:cs="宋体"/>
          <w:b/>
          <w:snapToGrid w:val="0"/>
        </w:rPr>
        <w:t>4、投标人有下列情况之一的，将不予退回投标保证金：</w:t>
      </w:r>
    </w:p>
    <w:p w14:paraId="502E3C21">
      <w:pPr>
        <w:adjustRightInd w:val="0"/>
        <w:snapToGrid w:val="0"/>
        <w:spacing w:line="360" w:lineRule="auto"/>
        <w:ind w:firstLine="420" w:firstLineChars="200"/>
        <w:rPr>
          <w:rFonts w:hint="eastAsia" w:ascii="宋体" w:hAnsi="宋体" w:eastAsia="宋体" w:cs="宋体"/>
          <w:snapToGrid w:val="0"/>
        </w:rPr>
      </w:pPr>
      <w:r>
        <w:rPr>
          <w:rFonts w:hint="eastAsia" w:ascii="宋体" w:hAnsi="宋体" w:eastAsia="宋体" w:cs="宋体"/>
          <w:snapToGrid w:val="0"/>
        </w:rPr>
        <w:t>（1）投标人在投标有效期内撤销其投标文件的；</w:t>
      </w:r>
    </w:p>
    <w:p w14:paraId="18C59E20">
      <w:pPr>
        <w:adjustRightInd w:val="0"/>
        <w:snapToGrid w:val="0"/>
        <w:spacing w:line="360" w:lineRule="auto"/>
        <w:ind w:firstLine="420" w:firstLineChars="200"/>
        <w:rPr>
          <w:rFonts w:hint="eastAsia" w:ascii="宋体" w:hAnsi="宋体" w:eastAsia="宋体" w:cs="宋体"/>
          <w:snapToGrid w:val="0"/>
        </w:rPr>
      </w:pPr>
      <w:r>
        <w:rPr>
          <w:rFonts w:hint="eastAsia" w:ascii="宋体" w:hAnsi="宋体" w:eastAsia="宋体" w:cs="宋体"/>
          <w:snapToGrid w:val="0"/>
        </w:rPr>
        <w:t>（2）成交投标人无正当理由不与采购人订立合同，在签订合同时向采购人提出附加条件，或者不按照招标文件要求提交履约保证金的。</w:t>
      </w:r>
    </w:p>
    <w:p w14:paraId="704FE6D2">
      <w:pPr>
        <w:rPr>
          <w:rFonts w:hint="eastAsia" w:ascii="宋体" w:hAnsi="宋体" w:eastAsia="宋体" w:cs="宋体"/>
          <w:sz w:val="32"/>
          <w:szCs w:val="32"/>
        </w:rPr>
      </w:pPr>
      <w:r>
        <w:rPr>
          <w:rFonts w:hint="eastAsia" w:ascii="宋体" w:hAnsi="宋体" w:eastAsia="宋体" w:cs="宋体"/>
          <w:sz w:val="32"/>
          <w:szCs w:val="32"/>
        </w:rPr>
        <w:br w:type="page"/>
      </w:r>
    </w:p>
    <w:p w14:paraId="44570525">
      <w:pPr>
        <w:widowControl/>
        <w:jc w:val="center"/>
        <w:rPr>
          <w:rFonts w:ascii="Times New Roman" w:hAnsi="Times New Roman" w:eastAsia="宋体" w:cs="Times New Roman"/>
        </w:rPr>
      </w:pPr>
      <w:r>
        <w:rPr>
          <w:rFonts w:hint="eastAsia" w:ascii="黑体" w:hAnsi="宋体" w:eastAsia="黑体" w:cs="黑体"/>
          <w:b/>
          <w:bCs/>
          <w:kern w:val="0"/>
          <w:sz w:val="28"/>
          <w:szCs w:val="28"/>
          <w:lang w:bidi="ar"/>
        </w:rPr>
        <w:t>投标保函（格式）</w:t>
      </w:r>
    </w:p>
    <w:p w14:paraId="596D23D9">
      <w:pPr>
        <w:widowControl/>
        <w:jc w:val="center"/>
        <w:rPr>
          <w:rFonts w:ascii="Times New Roman" w:hAnsi="Times New Roman" w:eastAsia="宋体" w:cs="Times New Roman"/>
        </w:rPr>
      </w:pPr>
      <w:r>
        <w:rPr>
          <w:rFonts w:hint="eastAsia" w:ascii="宋体" w:hAnsi="宋体" w:eastAsia="宋体" w:cs="宋体"/>
          <w:kern w:val="0"/>
          <w:szCs w:val="21"/>
          <w:lang w:bidi="ar"/>
        </w:rPr>
        <w:t>（金融机构、担保机构保函）</w:t>
      </w:r>
    </w:p>
    <w:p w14:paraId="4B0519A4">
      <w:pPr>
        <w:widowControl/>
        <w:spacing w:line="360" w:lineRule="auto"/>
        <w:jc w:val="left"/>
        <w:rPr>
          <w:rFonts w:ascii="Times New Roman" w:hAnsi="Times New Roman" w:eastAsia="宋体" w:cs="Times New Roman"/>
          <w:b/>
          <w:bCs/>
        </w:rPr>
      </w:pPr>
      <w:r>
        <w:rPr>
          <w:rFonts w:hint="eastAsia" w:ascii="宋体" w:hAnsi="宋体" w:eastAsia="宋体" w:cs="宋体"/>
          <w:b/>
          <w:bCs/>
          <w:kern w:val="0"/>
          <w:szCs w:val="21"/>
          <w:lang w:bidi="ar"/>
        </w:rPr>
        <w:t xml:space="preserve">（采购人名称）： </w:t>
      </w:r>
    </w:p>
    <w:p w14:paraId="1DB5924E">
      <w:pPr>
        <w:widowControl/>
        <w:spacing w:line="360" w:lineRule="auto"/>
        <w:ind w:firstLine="420" w:firstLineChars="200"/>
        <w:jc w:val="left"/>
        <w:rPr>
          <w:rFonts w:ascii="Times New Roman" w:hAnsi="Times New Roman" w:eastAsia="宋体" w:cs="Times New Roman"/>
        </w:rPr>
      </w:pPr>
      <w:r>
        <w:rPr>
          <w:rFonts w:hint="eastAsia" w:ascii="宋体" w:hAnsi="宋体" w:eastAsia="宋体" w:cs="宋体"/>
          <w:kern w:val="0"/>
          <w:szCs w:val="21"/>
          <w:lang w:bidi="ar"/>
        </w:rPr>
        <w:t>鉴于</w:t>
      </w:r>
      <w:r>
        <w:rPr>
          <w:rFonts w:hint="eastAsia" w:ascii="宋体" w:hAnsi="宋体" w:eastAsia="宋体" w:cs="宋体"/>
          <w:kern w:val="0"/>
          <w:szCs w:val="21"/>
          <w:u w:val="single"/>
          <w:lang w:bidi="ar"/>
        </w:rPr>
        <w:t>（投标人名称）（</w:t>
      </w:r>
      <w:r>
        <w:rPr>
          <w:rFonts w:hint="eastAsia" w:ascii="宋体" w:hAnsi="宋体" w:eastAsia="宋体" w:cs="宋体"/>
          <w:kern w:val="0"/>
          <w:szCs w:val="21"/>
          <w:lang w:bidi="ar"/>
        </w:rPr>
        <w:t>以下称“投标人”）于年月日参加（项目名称）政府采购招标（政采购编号：</w:t>
      </w:r>
      <w:r>
        <w:rPr>
          <w:rFonts w:hint="eastAsia" w:ascii="宋体" w:hAnsi="宋体" w:eastAsia="宋体" w:cs="宋体"/>
          <w:kern w:val="0"/>
          <w:szCs w:val="21"/>
          <w:u w:val="single"/>
          <w:lang w:bidi="ar"/>
        </w:rPr>
        <w:t xml:space="preserve">          </w:t>
      </w:r>
      <w:r>
        <w:rPr>
          <w:rFonts w:hint="eastAsia" w:ascii="宋体" w:hAnsi="宋体" w:eastAsia="宋体" w:cs="宋体"/>
          <w:kern w:val="0"/>
          <w:szCs w:val="21"/>
          <w:lang w:bidi="ar"/>
        </w:rPr>
        <w:t>，采购代理编号：</w:t>
      </w:r>
      <w:r>
        <w:rPr>
          <w:rFonts w:hint="eastAsia" w:ascii="宋体" w:hAnsi="宋体" w:eastAsia="宋体" w:cs="宋体"/>
          <w:kern w:val="0"/>
          <w:szCs w:val="21"/>
          <w:u w:val="single"/>
          <w:lang w:bidi="ar"/>
        </w:rPr>
        <w:t xml:space="preserve">          </w:t>
      </w:r>
      <w:r>
        <w:rPr>
          <w:rFonts w:hint="eastAsia" w:ascii="宋体" w:hAnsi="宋体" w:eastAsia="宋体" w:cs="宋体"/>
          <w:kern w:val="0"/>
          <w:szCs w:val="21"/>
          <w:lang w:bidi="ar"/>
        </w:rPr>
        <w:t>）的投标，（担保人名称，以下简称“我方”）无条件地、不可撤 销地保证：若投标人在投标有效期内撤销投标文件，或中标后无正当理由不与采购人订立合同，或在签订合同时向采购人提出附加条件，或不按照招标文件要求提交履约保证金，以及发生招标文件明确规定可以不予退还投标保证金的其他情形，我方承担保证责任。收到你方书面通知后，我方在 7 日内向你方无条件支付人民币</w:t>
      </w:r>
      <w:r>
        <w:rPr>
          <w:rFonts w:hint="eastAsia" w:ascii="宋体" w:hAnsi="宋体" w:eastAsia="宋体" w:cs="宋体"/>
          <w:kern w:val="0"/>
          <w:szCs w:val="21"/>
          <w:u w:val="single"/>
          <w:lang w:bidi="ar"/>
        </w:rPr>
        <w:t xml:space="preserve">      </w:t>
      </w:r>
      <w:r>
        <w:rPr>
          <w:rFonts w:hint="eastAsia" w:ascii="宋体" w:hAnsi="宋体" w:eastAsia="宋体" w:cs="宋体"/>
          <w:kern w:val="0"/>
          <w:szCs w:val="21"/>
          <w:lang w:bidi="ar"/>
        </w:rPr>
        <w:t xml:space="preserve">（大写）。 本保函在投标有效期内保持有效。要求我方承担保证责任的通知应在投标有效期内送达我方。 </w:t>
      </w:r>
    </w:p>
    <w:p w14:paraId="59BA7920">
      <w:pPr>
        <w:widowControl/>
        <w:spacing w:line="360" w:lineRule="auto"/>
        <w:ind w:firstLine="420" w:firstLineChars="200"/>
        <w:jc w:val="left"/>
        <w:rPr>
          <w:rFonts w:hint="eastAsia" w:ascii="宋体" w:hAnsi="宋体" w:eastAsia="宋体" w:cs="宋体"/>
          <w:kern w:val="0"/>
          <w:szCs w:val="21"/>
          <w:lang w:bidi="ar"/>
        </w:rPr>
      </w:pPr>
    </w:p>
    <w:p w14:paraId="61C5A2B4">
      <w:pPr>
        <w:widowControl/>
        <w:spacing w:line="360" w:lineRule="auto"/>
        <w:ind w:firstLine="420" w:firstLineChars="200"/>
        <w:jc w:val="left"/>
        <w:rPr>
          <w:rFonts w:ascii="Times New Roman" w:hAnsi="Times New Roman" w:eastAsia="宋体" w:cs="Times New Roman"/>
        </w:rPr>
      </w:pPr>
      <w:r>
        <w:rPr>
          <w:rFonts w:hint="eastAsia" w:ascii="宋体" w:hAnsi="宋体" w:eastAsia="宋体" w:cs="宋体"/>
          <w:kern w:val="0"/>
          <w:szCs w:val="21"/>
          <w:lang w:bidi="ar"/>
        </w:rPr>
        <w:t xml:space="preserve">担保人名称：（盖单位章） </w:t>
      </w:r>
    </w:p>
    <w:p w14:paraId="75FFCAAC">
      <w:pPr>
        <w:widowControl/>
        <w:spacing w:line="360" w:lineRule="auto"/>
        <w:ind w:firstLine="420" w:firstLineChars="200"/>
        <w:jc w:val="left"/>
        <w:rPr>
          <w:rFonts w:ascii="Times New Roman" w:hAnsi="Times New Roman" w:eastAsia="宋体" w:cs="Times New Roman"/>
        </w:rPr>
      </w:pPr>
      <w:r>
        <w:rPr>
          <w:rFonts w:hint="eastAsia" w:ascii="宋体" w:hAnsi="宋体" w:eastAsia="宋体" w:cs="宋体"/>
          <w:kern w:val="0"/>
          <w:szCs w:val="21"/>
          <w:lang w:bidi="ar"/>
        </w:rPr>
        <w:t xml:space="preserve">法定代表人（单位负责人）或委托代理人：（签字或印章） </w:t>
      </w:r>
    </w:p>
    <w:p w14:paraId="710F2F47">
      <w:pPr>
        <w:widowControl/>
        <w:spacing w:line="360" w:lineRule="auto"/>
        <w:ind w:firstLine="420" w:firstLineChars="200"/>
        <w:jc w:val="left"/>
        <w:rPr>
          <w:rFonts w:ascii="Times New Roman" w:hAnsi="Times New Roman" w:eastAsia="宋体" w:cs="Times New Roman"/>
        </w:rPr>
      </w:pPr>
      <w:r>
        <w:rPr>
          <w:rFonts w:hint="eastAsia" w:ascii="宋体" w:hAnsi="宋体" w:eastAsia="宋体" w:cs="宋体"/>
          <w:kern w:val="0"/>
          <w:szCs w:val="21"/>
          <w:lang w:bidi="ar"/>
        </w:rPr>
        <w:t xml:space="preserve">地 址： </w:t>
      </w:r>
    </w:p>
    <w:p w14:paraId="6E95AE4D">
      <w:pPr>
        <w:widowControl/>
        <w:spacing w:line="360" w:lineRule="auto"/>
        <w:ind w:firstLine="420" w:firstLineChars="200"/>
        <w:jc w:val="left"/>
        <w:rPr>
          <w:rFonts w:ascii="Times New Roman" w:hAnsi="Times New Roman" w:eastAsia="宋体" w:cs="Times New Roman"/>
        </w:rPr>
      </w:pPr>
      <w:r>
        <w:rPr>
          <w:rFonts w:hint="eastAsia" w:ascii="宋体" w:hAnsi="宋体" w:eastAsia="宋体" w:cs="宋体"/>
          <w:kern w:val="0"/>
          <w:szCs w:val="21"/>
          <w:lang w:bidi="ar"/>
        </w:rPr>
        <w:t xml:space="preserve">邮政编码： </w:t>
      </w:r>
    </w:p>
    <w:p w14:paraId="7F4CB562">
      <w:pPr>
        <w:widowControl/>
        <w:spacing w:line="360" w:lineRule="auto"/>
        <w:ind w:firstLine="420" w:firstLineChars="200"/>
        <w:jc w:val="left"/>
        <w:rPr>
          <w:rFonts w:ascii="Times New Roman" w:hAnsi="Times New Roman" w:eastAsia="宋体" w:cs="Times New Roman"/>
        </w:rPr>
      </w:pPr>
      <w:r>
        <w:rPr>
          <w:rFonts w:hint="eastAsia" w:ascii="宋体" w:hAnsi="宋体" w:eastAsia="宋体" w:cs="宋体"/>
          <w:kern w:val="0"/>
          <w:szCs w:val="21"/>
          <w:lang w:bidi="ar"/>
        </w:rPr>
        <w:t xml:space="preserve">电 话： </w:t>
      </w:r>
    </w:p>
    <w:p w14:paraId="3CD762B8">
      <w:pPr>
        <w:widowControl/>
        <w:spacing w:line="360" w:lineRule="auto"/>
        <w:ind w:firstLine="420" w:firstLineChars="200"/>
        <w:jc w:val="left"/>
        <w:rPr>
          <w:rFonts w:ascii="Times New Roman" w:hAnsi="Times New Roman" w:eastAsia="宋体" w:cs="Times New Roman"/>
        </w:rPr>
      </w:pPr>
      <w:r>
        <w:rPr>
          <w:rFonts w:hint="eastAsia" w:ascii="宋体" w:hAnsi="宋体" w:eastAsia="宋体" w:cs="宋体"/>
          <w:kern w:val="0"/>
          <w:szCs w:val="21"/>
          <w:lang w:bidi="ar"/>
        </w:rPr>
        <w:t>年  月  日</w:t>
      </w:r>
    </w:p>
    <w:p w14:paraId="2DF2F8E6">
      <w:pPr>
        <w:adjustRightInd w:val="0"/>
        <w:snapToGrid w:val="0"/>
        <w:spacing w:line="360" w:lineRule="auto"/>
        <w:rPr>
          <w:rFonts w:hint="eastAsia" w:ascii="宋体" w:hAnsi="宋体" w:eastAsia="宋体" w:cs="宋体"/>
          <w:sz w:val="32"/>
          <w:szCs w:val="32"/>
        </w:rPr>
      </w:pPr>
      <w:r>
        <w:rPr>
          <w:rFonts w:hint="eastAsia" w:ascii="宋体" w:hAnsi="宋体" w:eastAsia="宋体" w:cs="宋体"/>
          <w:sz w:val="32"/>
          <w:szCs w:val="32"/>
        </w:rPr>
        <w:br w:type="page"/>
      </w:r>
    </w:p>
    <w:p w14:paraId="5D43510A">
      <w:pPr>
        <w:keepNext/>
        <w:keepLines/>
        <w:widowControl w:val="0"/>
        <w:adjustRightInd w:val="0"/>
        <w:snapToGrid w:val="0"/>
        <w:spacing w:before="0" w:after="0" w:line="360" w:lineRule="auto"/>
        <w:jc w:val="center"/>
        <w:outlineLvl w:val="2"/>
        <w:rPr>
          <w:rFonts w:hint="eastAsia" w:ascii="宋体" w:hAnsi="宋体" w:eastAsia="宋体" w:cs="宋体"/>
          <w:b/>
          <w:bCs/>
          <w:kern w:val="2"/>
          <w:sz w:val="28"/>
          <w:szCs w:val="28"/>
          <w:lang w:val="en-US" w:eastAsia="zh-CN" w:bidi="ar-SA"/>
        </w:rPr>
      </w:pPr>
      <w:bookmarkStart w:id="148" w:name="_Toc28751"/>
      <w:bookmarkStart w:id="149" w:name="_Toc14644"/>
      <w:bookmarkStart w:id="150" w:name="_Toc31621"/>
      <w:bookmarkStart w:id="151" w:name="_Toc15321"/>
      <w:r>
        <w:rPr>
          <w:rFonts w:hint="eastAsia" w:ascii="宋体" w:hAnsi="宋体" w:eastAsia="宋体" w:cs="宋体"/>
          <w:b/>
          <w:bCs/>
          <w:kern w:val="2"/>
          <w:sz w:val="28"/>
          <w:szCs w:val="28"/>
          <w:lang w:val="en-US" w:eastAsia="zh-CN" w:bidi="ar-SA"/>
        </w:rPr>
        <w:t>（三）法定代表人（单位负责人）身份证明或授权委托书</w:t>
      </w:r>
      <w:bookmarkEnd w:id="148"/>
      <w:bookmarkEnd w:id="149"/>
      <w:bookmarkEnd w:id="150"/>
      <w:bookmarkEnd w:id="151"/>
    </w:p>
    <w:p w14:paraId="7A88E364">
      <w:pPr>
        <w:tabs>
          <w:tab w:val="left" w:pos="3880"/>
        </w:tabs>
        <w:autoSpaceDE w:val="0"/>
        <w:autoSpaceDN w:val="0"/>
        <w:adjustRightInd w:val="0"/>
        <w:snapToGrid w:val="0"/>
        <w:spacing w:line="360" w:lineRule="auto"/>
        <w:ind w:left="100" w:right="-20"/>
        <w:jc w:val="left"/>
        <w:rPr>
          <w:rFonts w:hint="eastAsia" w:ascii="宋体" w:hAnsi="宋体" w:eastAsia="宋体" w:cs="宋体"/>
          <w:kern w:val="0"/>
          <w:position w:val="-4"/>
          <w:szCs w:val="21"/>
        </w:rPr>
      </w:pPr>
    </w:p>
    <w:p w14:paraId="70886FB5">
      <w:pPr>
        <w:tabs>
          <w:tab w:val="left" w:pos="3880"/>
        </w:tabs>
        <w:autoSpaceDE w:val="0"/>
        <w:autoSpaceDN w:val="0"/>
        <w:adjustRightInd w:val="0"/>
        <w:snapToGrid w:val="0"/>
        <w:spacing w:line="360" w:lineRule="auto"/>
        <w:ind w:left="100" w:right="-20"/>
        <w:jc w:val="center"/>
        <w:rPr>
          <w:rFonts w:hint="eastAsia" w:ascii="宋体" w:hAnsi="宋体" w:eastAsia="宋体" w:cs="宋体"/>
          <w:kern w:val="0"/>
          <w:sz w:val="28"/>
          <w:szCs w:val="28"/>
          <w:lang w:val="zh-CN" w:bidi="zh-CN"/>
        </w:rPr>
      </w:pPr>
      <w:r>
        <w:rPr>
          <w:rFonts w:hint="eastAsia" w:ascii="宋体" w:hAnsi="宋体" w:eastAsia="宋体" w:cs="宋体"/>
          <w:kern w:val="0"/>
          <w:sz w:val="28"/>
          <w:szCs w:val="28"/>
          <w:lang w:val="zh-CN" w:bidi="zh-CN"/>
        </w:rPr>
        <w:t>法定代表人（单位负责人）身份证明</w:t>
      </w:r>
    </w:p>
    <w:p w14:paraId="3D3260AD">
      <w:pPr>
        <w:tabs>
          <w:tab w:val="left" w:pos="3880"/>
        </w:tabs>
        <w:autoSpaceDE w:val="0"/>
        <w:autoSpaceDN w:val="0"/>
        <w:adjustRightInd w:val="0"/>
        <w:snapToGrid w:val="0"/>
        <w:spacing w:line="360" w:lineRule="auto"/>
        <w:ind w:left="100" w:right="-20"/>
        <w:jc w:val="left"/>
        <w:rPr>
          <w:rFonts w:hint="eastAsia" w:ascii="宋体" w:hAnsi="宋体" w:eastAsia="宋体" w:cs="宋体"/>
          <w:kern w:val="0"/>
          <w:position w:val="-4"/>
          <w:szCs w:val="21"/>
        </w:rPr>
      </w:pPr>
    </w:p>
    <w:p w14:paraId="50B3924E">
      <w:pPr>
        <w:tabs>
          <w:tab w:val="left" w:pos="3880"/>
        </w:tabs>
        <w:autoSpaceDE w:val="0"/>
        <w:autoSpaceDN w:val="0"/>
        <w:adjustRightInd w:val="0"/>
        <w:snapToGrid w:val="0"/>
        <w:spacing w:line="360" w:lineRule="auto"/>
        <w:ind w:left="100" w:right="-20"/>
        <w:jc w:val="left"/>
        <w:rPr>
          <w:rFonts w:hint="eastAsia" w:ascii="宋体" w:hAnsi="宋体" w:eastAsia="宋体" w:cs="宋体"/>
          <w:kern w:val="0"/>
          <w:szCs w:val="21"/>
          <w:u w:val="single"/>
        </w:rPr>
      </w:pPr>
      <w:r>
        <w:rPr>
          <w:rFonts w:hint="eastAsia" w:ascii="宋体" w:hAnsi="宋体" w:eastAsia="宋体" w:cs="宋体"/>
          <w:kern w:val="0"/>
          <w:position w:val="-4"/>
          <w:szCs w:val="21"/>
        </w:rPr>
        <w:t>投标人名</w:t>
      </w:r>
      <w:r>
        <w:rPr>
          <w:rFonts w:hint="eastAsia" w:ascii="宋体" w:hAnsi="宋体" w:eastAsia="宋体" w:cs="宋体"/>
          <w:spacing w:val="-2"/>
          <w:kern w:val="0"/>
          <w:position w:val="-4"/>
          <w:szCs w:val="21"/>
        </w:rPr>
        <w:t>称</w:t>
      </w:r>
      <w:r>
        <w:rPr>
          <w:rFonts w:hint="eastAsia" w:ascii="宋体" w:hAnsi="宋体" w:eastAsia="宋体" w:cs="宋体"/>
          <w:kern w:val="0"/>
          <w:position w:val="-4"/>
          <w:szCs w:val="21"/>
        </w:rPr>
        <w:t>：</w:t>
      </w:r>
      <w:r>
        <w:rPr>
          <w:rFonts w:hint="eastAsia" w:ascii="宋体" w:hAnsi="宋体" w:eastAsia="宋体" w:cs="宋体"/>
          <w:kern w:val="0"/>
          <w:position w:val="-4"/>
          <w:szCs w:val="21"/>
          <w:u w:val="single"/>
        </w:rPr>
        <w:t xml:space="preserve">               </w:t>
      </w:r>
    </w:p>
    <w:p w14:paraId="1400A2CA">
      <w:pPr>
        <w:tabs>
          <w:tab w:val="left" w:pos="3880"/>
        </w:tabs>
        <w:autoSpaceDE w:val="0"/>
        <w:autoSpaceDN w:val="0"/>
        <w:adjustRightInd w:val="0"/>
        <w:snapToGrid w:val="0"/>
        <w:spacing w:line="360" w:lineRule="auto"/>
        <w:ind w:left="100" w:right="-20"/>
        <w:jc w:val="left"/>
        <w:rPr>
          <w:rFonts w:hint="eastAsia" w:ascii="宋体" w:hAnsi="宋体" w:eastAsia="宋体" w:cs="宋体"/>
          <w:kern w:val="0"/>
          <w:szCs w:val="21"/>
          <w:u w:val="single"/>
        </w:rPr>
      </w:pPr>
      <w:r>
        <w:rPr>
          <w:rFonts w:hint="eastAsia" w:ascii="宋体" w:hAnsi="宋体" w:eastAsia="宋体" w:cs="宋体"/>
          <w:kern w:val="0"/>
          <w:position w:val="-2"/>
          <w:szCs w:val="21"/>
        </w:rPr>
        <w:t>统一社会信用代码：</w:t>
      </w:r>
      <w:r>
        <w:rPr>
          <w:rFonts w:hint="eastAsia" w:ascii="宋体" w:hAnsi="宋体" w:eastAsia="宋体" w:cs="宋体"/>
          <w:kern w:val="0"/>
          <w:position w:val="-4"/>
          <w:szCs w:val="21"/>
          <w:u w:val="single"/>
        </w:rPr>
        <w:t xml:space="preserve">               </w:t>
      </w:r>
    </w:p>
    <w:p w14:paraId="7771DACC">
      <w:pPr>
        <w:tabs>
          <w:tab w:val="left" w:pos="3880"/>
        </w:tabs>
        <w:autoSpaceDE w:val="0"/>
        <w:autoSpaceDN w:val="0"/>
        <w:adjustRightInd w:val="0"/>
        <w:snapToGrid w:val="0"/>
        <w:spacing w:line="360" w:lineRule="auto"/>
        <w:ind w:left="100" w:right="-20"/>
        <w:jc w:val="left"/>
        <w:rPr>
          <w:rFonts w:hint="eastAsia" w:ascii="宋体" w:hAnsi="宋体" w:eastAsia="宋体" w:cs="宋体"/>
          <w:kern w:val="0"/>
          <w:szCs w:val="21"/>
          <w:u w:val="single"/>
        </w:rPr>
      </w:pPr>
      <w:r>
        <w:rPr>
          <w:rFonts w:hint="eastAsia" w:ascii="宋体" w:hAnsi="宋体" w:eastAsia="宋体" w:cs="宋体"/>
          <w:kern w:val="0"/>
          <w:position w:val="-2"/>
          <w:szCs w:val="21"/>
        </w:rPr>
        <w:t>注册地址：</w:t>
      </w:r>
      <w:r>
        <w:rPr>
          <w:rFonts w:hint="eastAsia" w:ascii="宋体" w:hAnsi="宋体" w:eastAsia="宋体" w:cs="宋体"/>
          <w:kern w:val="0"/>
          <w:position w:val="-4"/>
          <w:szCs w:val="21"/>
          <w:u w:val="single"/>
        </w:rPr>
        <w:t xml:space="preserve">               </w:t>
      </w:r>
    </w:p>
    <w:p w14:paraId="65E3C5E2">
      <w:pPr>
        <w:tabs>
          <w:tab w:val="left" w:pos="2400"/>
          <w:tab w:val="left" w:pos="3880"/>
          <w:tab w:val="left" w:pos="5340"/>
          <w:tab w:val="left" w:pos="6820"/>
        </w:tabs>
        <w:autoSpaceDE w:val="0"/>
        <w:autoSpaceDN w:val="0"/>
        <w:adjustRightInd w:val="0"/>
        <w:snapToGrid w:val="0"/>
        <w:spacing w:line="360" w:lineRule="auto"/>
        <w:ind w:left="102" w:right="-23" w:firstLine="420" w:firstLineChars="200"/>
        <w:jc w:val="left"/>
        <w:rPr>
          <w:rFonts w:hint="eastAsia" w:ascii="宋体" w:hAnsi="宋体" w:eastAsia="宋体" w:cs="宋体"/>
          <w:kern w:val="0"/>
          <w:szCs w:val="21"/>
        </w:rPr>
      </w:pPr>
      <w:r>
        <w:rPr>
          <w:rFonts w:hint="eastAsia" w:ascii="宋体" w:hAnsi="宋体" w:eastAsia="宋体" w:cs="宋体"/>
          <w:kern w:val="0"/>
          <w:position w:val="-2"/>
          <w:szCs w:val="21"/>
        </w:rPr>
        <w:t>姓名</w:t>
      </w:r>
      <w:r>
        <w:rPr>
          <w:rFonts w:hint="eastAsia" w:ascii="宋体" w:hAnsi="宋体" w:eastAsia="宋体" w:cs="宋体"/>
          <w:spacing w:val="-2"/>
          <w:kern w:val="0"/>
          <w:position w:val="-2"/>
          <w:szCs w:val="21"/>
        </w:rPr>
        <w:t>：</w:t>
      </w:r>
      <w:r>
        <w:rPr>
          <w:rFonts w:hint="eastAsia" w:ascii="宋体" w:hAnsi="宋体" w:eastAsia="宋体" w:cs="宋体"/>
          <w:kern w:val="0"/>
          <w:position w:val="-4"/>
          <w:szCs w:val="21"/>
          <w:u w:val="single"/>
        </w:rPr>
        <w:t xml:space="preserve">       </w:t>
      </w:r>
      <w:r>
        <w:rPr>
          <w:rFonts w:hint="eastAsia" w:ascii="宋体" w:hAnsi="宋体" w:eastAsia="宋体" w:cs="宋体"/>
          <w:kern w:val="0"/>
          <w:position w:val="-2"/>
          <w:szCs w:val="21"/>
        </w:rPr>
        <w:t>性别</w:t>
      </w:r>
      <w:r>
        <w:rPr>
          <w:rFonts w:hint="eastAsia" w:ascii="宋体" w:hAnsi="宋体" w:eastAsia="宋体" w:cs="宋体"/>
          <w:spacing w:val="-2"/>
          <w:kern w:val="0"/>
          <w:position w:val="-2"/>
          <w:szCs w:val="21"/>
        </w:rPr>
        <w:t>：</w:t>
      </w:r>
      <w:r>
        <w:rPr>
          <w:rFonts w:hint="eastAsia" w:ascii="宋体" w:hAnsi="宋体" w:eastAsia="宋体" w:cs="宋体"/>
          <w:kern w:val="0"/>
          <w:position w:val="-4"/>
          <w:szCs w:val="21"/>
          <w:u w:val="single"/>
        </w:rPr>
        <w:t xml:space="preserve">       </w:t>
      </w:r>
      <w:r>
        <w:rPr>
          <w:rFonts w:hint="eastAsia" w:ascii="宋体" w:hAnsi="宋体" w:eastAsia="宋体" w:cs="宋体"/>
          <w:kern w:val="0"/>
          <w:position w:val="-2"/>
          <w:szCs w:val="21"/>
        </w:rPr>
        <w:t>年</w:t>
      </w:r>
      <w:r>
        <w:rPr>
          <w:rFonts w:hint="eastAsia" w:ascii="宋体" w:hAnsi="宋体" w:eastAsia="宋体" w:cs="宋体"/>
          <w:spacing w:val="-2"/>
          <w:kern w:val="0"/>
          <w:position w:val="-2"/>
          <w:szCs w:val="21"/>
        </w:rPr>
        <w:t>龄</w:t>
      </w:r>
      <w:r>
        <w:rPr>
          <w:rFonts w:hint="eastAsia" w:ascii="宋体" w:hAnsi="宋体" w:eastAsia="宋体" w:cs="宋体"/>
          <w:kern w:val="0"/>
          <w:position w:val="-2"/>
          <w:szCs w:val="21"/>
        </w:rPr>
        <w:t>：</w:t>
      </w:r>
      <w:r>
        <w:rPr>
          <w:rFonts w:hint="eastAsia" w:ascii="宋体" w:hAnsi="宋体" w:eastAsia="宋体" w:cs="宋体"/>
          <w:kern w:val="0"/>
          <w:position w:val="-4"/>
          <w:szCs w:val="21"/>
          <w:u w:val="single"/>
        </w:rPr>
        <w:t xml:space="preserve">       </w:t>
      </w:r>
      <w:r>
        <w:rPr>
          <w:rFonts w:hint="eastAsia" w:ascii="宋体" w:hAnsi="宋体" w:eastAsia="宋体" w:cs="宋体"/>
          <w:kern w:val="0"/>
          <w:position w:val="-2"/>
          <w:szCs w:val="21"/>
        </w:rPr>
        <w:t>职</w:t>
      </w:r>
      <w:r>
        <w:rPr>
          <w:rFonts w:hint="eastAsia" w:ascii="宋体" w:hAnsi="宋体" w:eastAsia="宋体" w:cs="宋体"/>
          <w:spacing w:val="-2"/>
          <w:kern w:val="0"/>
          <w:position w:val="-2"/>
          <w:szCs w:val="21"/>
        </w:rPr>
        <w:t>务</w:t>
      </w:r>
      <w:r>
        <w:rPr>
          <w:rFonts w:hint="eastAsia" w:ascii="宋体" w:hAnsi="宋体" w:eastAsia="宋体" w:cs="宋体"/>
          <w:kern w:val="0"/>
          <w:position w:val="-2"/>
          <w:szCs w:val="21"/>
        </w:rPr>
        <w:t>：</w:t>
      </w:r>
      <w:r>
        <w:rPr>
          <w:rFonts w:hint="eastAsia" w:ascii="宋体" w:hAnsi="宋体" w:eastAsia="宋体" w:cs="宋体"/>
          <w:kern w:val="0"/>
          <w:position w:val="-4"/>
          <w:szCs w:val="21"/>
          <w:u w:val="single"/>
        </w:rPr>
        <w:t xml:space="preserve">       </w:t>
      </w:r>
      <w:r>
        <w:rPr>
          <w:rFonts w:hint="eastAsia" w:ascii="宋体" w:hAnsi="宋体" w:eastAsia="宋体" w:cs="宋体"/>
          <w:kern w:val="0"/>
          <w:position w:val="-2"/>
          <w:szCs w:val="21"/>
        </w:rPr>
        <w:t>系</w:t>
      </w:r>
      <w:r>
        <w:rPr>
          <w:rFonts w:hint="eastAsia" w:ascii="宋体" w:hAnsi="宋体" w:eastAsia="宋体" w:cs="宋体"/>
          <w:spacing w:val="-2"/>
          <w:kern w:val="0"/>
          <w:position w:val="-2"/>
          <w:szCs w:val="21"/>
        </w:rPr>
        <w:t>（</w:t>
      </w:r>
      <w:r>
        <w:rPr>
          <w:rFonts w:hint="eastAsia" w:ascii="宋体" w:hAnsi="宋体" w:eastAsia="宋体" w:cs="宋体"/>
          <w:kern w:val="0"/>
          <w:position w:val="-4"/>
          <w:szCs w:val="21"/>
          <w:u w:val="single"/>
        </w:rPr>
        <w:t xml:space="preserve">       </w:t>
      </w:r>
      <w:r>
        <w:rPr>
          <w:rFonts w:hint="eastAsia" w:ascii="宋体" w:hAnsi="宋体" w:eastAsia="宋体" w:cs="宋体"/>
          <w:kern w:val="0"/>
          <w:position w:val="-2"/>
          <w:szCs w:val="21"/>
          <w:u w:val="single"/>
        </w:rPr>
        <w:t>投标人</w:t>
      </w:r>
      <w:r>
        <w:rPr>
          <w:rFonts w:hint="eastAsia" w:ascii="宋体" w:hAnsi="宋体" w:eastAsia="宋体" w:cs="宋体"/>
          <w:spacing w:val="-2"/>
          <w:kern w:val="0"/>
          <w:position w:val="-2"/>
          <w:szCs w:val="21"/>
          <w:u w:val="single"/>
        </w:rPr>
        <w:t>名</w:t>
      </w:r>
      <w:r>
        <w:rPr>
          <w:rFonts w:hint="eastAsia" w:ascii="宋体" w:hAnsi="宋体" w:eastAsia="宋体" w:cs="宋体"/>
          <w:kern w:val="0"/>
          <w:position w:val="-2"/>
          <w:szCs w:val="21"/>
          <w:u w:val="single"/>
        </w:rPr>
        <w:t xml:space="preserve">称  </w:t>
      </w:r>
      <w:r>
        <w:rPr>
          <w:rFonts w:hint="eastAsia" w:ascii="宋体" w:hAnsi="宋体" w:eastAsia="宋体" w:cs="宋体"/>
          <w:spacing w:val="-2"/>
          <w:kern w:val="0"/>
          <w:position w:val="-2"/>
          <w:szCs w:val="21"/>
        </w:rPr>
        <w:t>）</w:t>
      </w:r>
      <w:r>
        <w:rPr>
          <w:rFonts w:hint="eastAsia" w:ascii="宋体" w:hAnsi="宋体" w:eastAsia="宋体" w:cs="宋体"/>
          <w:kern w:val="0"/>
          <w:position w:val="-2"/>
          <w:szCs w:val="21"/>
        </w:rPr>
        <w:t>的</w:t>
      </w:r>
      <w:r>
        <w:rPr>
          <w:rFonts w:hint="eastAsia" w:ascii="宋体" w:hAnsi="宋体" w:eastAsia="宋体" w:cs="宋体"/>
          <w:spacing w:val="-2"/>
          <w:kern w:val="0"/>
          <w:position w:val="-2"/>
          <w:szCs w:val="21"/>
        </w:rPr>
        <w:t>法定</w:t>
      </w:r>
      <w:r>
        <w:rPr>
          <w:rFonts w:hint="eastAsia" w:ascii="宋体" w:hAnsi="宋体" w:eastAsia="宋体" w:cs="宋体"/>
          <w:kern w:val="0"/>
          <w:position w:val="-2"/>
          <w:szCs w:val="21"/>
        </w:rPr>
        <w:t>代表</w:t>
      </w:r>
      <w:r>
        <w:rPr>
          <w:rFonts w:hint="eastAsia" w:ascii="宋体" w:hAnsi="宋体" w:eastAsia="宋体" w:cs="宋体"/>
          <w:spacing w:val="-2"/>
          <w:kern w:val="0"/>
          <w:position w:val="-2"/>
          <w:szCs w:val="21"/>
        </w:rPr>
        <w:t>人</w:t>
      </w:r>
      <w:r>
        <w:rPr>
          <w:rFonts w:hint="eastAsia" w:ascii="宋体" w:hAnsi="宋体" w:eastAsia="宋体" w:cs="宋体"/>
          <w:kern w:val="0"/>
          <w:position w:val="-2"/>
          <w:szCs w:val="21"/>
        </w:rPr>
        <w:t>（</w:t>
      </w:r>
      <w:r>
        <w:rPr>
          <w:rFonts w:hint="eastAsia" w:ascii="宋体" w:hAnsi="宋体" w:eastAsia="宋体" w:cs="宋体"/>
          <w:spacing w:val="-2"/>
          <w:kern w:val="0"/>
          <w:position w:val="-2"/>
          <w:szCs w:val="21"/>
        </w:rPr>
        <w:t>单</w:t>
      </w:r>
      <w:r>
        <w:rPr>
          <w:rFonts w:hint="eastAsia" w:ascii="宋体" w:hAnsi="宋体" w:eastAsia="宋体" w:cs="宋体"/>
          <w:kern w:val="0"/>
          <w:position w:val="-2"/>
          <w:szCs w:val="21"/>
        </w:rPr>
        <w:t>位</w:t>
      </w:r>
      <w:r>
        <w:rPr>
          <w:rFonts w:hint="eastAsia" w:ascii="宋体" w:hAnsi="宋体" w:eastAsia="宋体" w:cs="宋体"/>
          <w:spacing w:val="-2"/>
          <w:kern w:val="0"/>
          <w:position w:val="-2"/>
          <w:szCs w:val="21"/>
        </w:rPr>
        <w:t>负</w:t>
      </w:r>
      <w:r>
        <w:rPr>
          <w:rFonts w:hint="eastAsia" w:ascii="宋体" w:hAnsi="宋体" w:eastAsia="宋体" w:cs="宋体"/>
          <w:kern w:val="0"/>
          <w:position w:val="-2"/>
          <w:szCs w:val="21"/>
        </w:rPr>
        <w:t>责</w:t>
      </w:r>
      <w:r>
        <w:rPr>
          <w:rFonts w:hint="eastAsia" w:ascii="宋体" w:hAnsi="宋体" w:eastAsia="宋体" w:cs="宋体"/>
          <w:spacing w:val="-2"/>
          <w:kern w:val="0"/>
          <w:position w:val="-2"/>
          <w:szCs w:val="21"/>
        </w:rPr>
        <w:t>人</w:t>
      </w:r>
      <w:r>
        <w:rPr>
          <w:rFonts w:hint="eastAsia" w:ascii="宋体" w:hAnsi="宋体" w:eastAsia="宋体" w:cs="宋体"/>
          <w:spacing w:val="-106"/>
          <w:kern w:val="0"/>
          <w:position w:val="-2"/>
          <w:szCs w:val="21"/>
        </w:rPr>
        <w:t>）</w:t>
      </w:r>
      <w:r>
        <w:rPr>
          <w:rFonts w:hint="eastAsia" w:ascii="宋体" w:hAnsi="宋体" w:eastAsia="宋体" w:cs="宋体"/>
          <w:kern w:val="0"/>
          <w:position w:val="-2"/>
          <w:szCs w:val="21"/>
        </w:rPr>
        <w:t>。</w:t>
      </w:r>
    </w:p>
    <w:p w14:paraId="6E2B6004">
      <w:pPr>
        <w:autoSpaceDE w:val="0"/>
        <w:autoSpaceDN w:val="0"/>
        <w:adjustRightInd w:val="0"/>
        <w:snapToGrid w:val="0"/>
        <w:spacing w:line="360" w:lineRule="auto"/>
        <w:ind w:left="520" w:right="-20"/>
        <w:jc w:val="left"/>
        <w:rPr>
          <w:rFonts w:hint="eastAsia" w:ascii="宋体" w:hAnsi="宋体" w:eastAsia="宋体" w:cs="宋体"/>
          <w:kern w:val="0"/>
          <w:szCs w:val="21"/>
        </w:rPr>
      </w:pPr>
      <w:r>
        <w:rPr>
          <w:rFonts w:hint="eastAsia" w:ascii="宋体" w:hAnsi="宋体" w:eastAsia="宋体" w:cs="宋体"/>
          <w:kern w:val="0"/>
          <w:szCs w:val="21"/>
        </w:rPr>
        <w:t>特此</w:t>
      </w:r>
      <w:r>
        <w:rPr>
          <w:rFonts w:hint="eastAsia" w:ascii="宋体" w:hAnsi="宋体" w:eastAsia="宋体" w:cs="宋体"/>
          <w:spacing w:val="-2"/>
          <w:kern w:val="0"/>
          <w:szCs w:val="21"/>
        </w:rPr>
        <w:t>证</w:t>
      </w:r>
      <w:r>
        <w:rPr>
          <w:rFonts w:hint="eastAsia" w:ascii="宋体" w:hAnsi="宋体" w:eastAsia="宋体" w:cs="宋体"/>
          <w:kern w:val="0"/>
          <w:szCs w:val="21"/>
        </w:rPr>
        <w:t>明。</w:t>
      </w:r>
    </w:p>
    <w:p w14:paraId="110F6F65">
      <w:pPr>
        <w:autoSpaceDE w:val="0"/>
        <w:autoSpaceDN w:val="0"/>
        <w:adjustRightInd w:val="0"/>
        <w:snapToGrid w:val="0"/>
        <w:spacing w:line="360" w:lineRule="auto"/>
        <w:ind w:left="100" w:right="4231"/>
        <w:jc w:val="left"/>
        <w:rPr>
          <w:rFonts w:hint="eastAsia" w:ascii="宋体" w:hAnsi="宋体" w:eastAsia="宋体" w:cs="宋体"/>
          <w:kern w:val="0"/>
          <w:szCs w:val="21"/>
        </w:rPr>
      </w:pPr>
      <w:r>
        <w:rPr>
          <w:rFonts w:hint="eastAsia" w:ascii="宋体" w:hAnsi="宋体" w:eastAsia="宋体" w:cs="宋体"/>
          <w:kern w:val="0"/>
          <w:szCs w:val="21"/>
        </w:rPr>
        <w:t>附：</w:t>
      </w:r>
      <w:r>
        <w:rPr>
          <w:rFonts w:hint="eastAsia" w:ascii="宋体" w:hAnsi="宋体" w:eastAsia="宋体" w:cs="宋体"/>
          <w:spacing w:val="-2"/>
          <w:kern w:val="0"/>
          <w:szCs w:val="21"/>
        </w:rPr>
        <w:t>法</w:t>
      </w:r>
      <w:r>
        <w:rPr>
          <w:rFonts w:hint="eastAsia" w:ascii="宋体" w:hAnsi="宋体" w:eastAsia="宋体" w:cs="宋体"/>
          <w:kern w:val="0"/>
          <w:szCs w:val="21"/>
        </w:rPr>
        <w:t>定</w:t>
      </w:r>
      <w:r>
        <w:rPr>
          <w:rFonts w:hint="eastAsia" w:ascii="宋体" w:hAnsi="宋体" w:eastAsia="宋体" w:cs="宋体"/>
          <w:spacing w:val="-2"/>
          <w:kern w:val="0"/>
          <w:szCs w:val="21"/>
        </w:rPr>
        <w:t>代</w:t>
      </w:r>
      <w:r>
        <w:rPr>
          <w:rFonts w:hint="eastAsia" w:ascii="宋体" w:hAnsi="宋体" w:eastAsia="宋体" w:cs="宋体"/>
          <w:kern w:val="0"/>
          <w:szCs w:val="21"/>
        </w:rPr>
        <w:t>表</w:t>
      </w:r>
      <w:r>
        <w:rPr>
          <w:rFonts w:hint="eastAsia" w:ascii="宋体" w:hAnsi="宋体" w:eastAsia="宋体" w:cs="宋体"/>
          <w:spacing w:val="-2"/>
          <w:kern w:val="0"/>
          <w:szCs w:val="21"/>
        </w:rPr>
        <w:t>人</w:t>
      </w:r>
      <w:r>
        <w:rPr>
          <w:rFonts w:hint="eastAsia" w:ascii="宋体" w:hAnsi="宋体" w:eastAsia="宋体" w:cs="宋体"/>
          <w:kern w:val="0"/>
          <w:szCs w:val="21"/>
        </w:rPr>
        <w:t>（</w:t>
      </w:r>
      <w:r>
        <w:rPr>
          <w:rFonts w:hint="eastAsia" w:ascii="宋体" w:hAnsi="宋体" w:eastAsia="宋体" w:cs="宋体"/>
          <w:spacing w:val="-2"/>
          <w:kern w:val="0"/>
          <w:szCs w:val="21"/>
        </w:rPr>
        <w:t>单</w:t>
      </w:r>
      <w:r>
        <w:rPr>
          <w:rFonts w:hint="eastAsia" w:ascii="宋体" w:hAnsi="宋体" w:eastAsia="宋体" w:cs="宋体"/>
          <w:kern w:val="0"/>
          <w:szCs w:val="21"/>
        </w:rPr>
        <w:t>位</w:t>
      </w:r>
      <w:r>
        <w:rPr>
          <w:rFonts w:hint="eastAsia" w:ascii="宋体" w:hAnsi="宋体" w:eastAsia="宋体" w:cs="宋体"/>
          <w:spacing w:val="-2"/>
          <w:kern w:val="0"/>
          <w:szCs w:val="21"/>
        </w:rPr>
        <w:t>负</w:t>
      </w:r>
      <w:r>
        <w:rPr>
          <w:rFonts w:hint="eastAsia" w:ascii="宋体" w:hAnsi="宋体" w:eastAsia="宋体" w:cs="宋体"/>
          <w:kern w:val="0"/>
          <w:szCs w:val="21"/>
        </w:rPr>
        <w:t>责人</w:t>
      </w:r>
      <w:r>
        <w:rPr>
          <w:rFonts w:hint="eastAsia" w:ascii="宋体" w:hAnsi="宋体" w:eastAsia="宋体" w:cs="宋体"/>
          <w:spacing w:val="-2"/>
          <w:kern w:val="0"/>
          <w:szCs w:val="21"/>
        </w:rPr>
        <w:t>）</w:t>
      </w:r>
      <w:r>
        <w:rPr>
          <w:rFonts w:hint="eastAsia" w:ascii="宋体" w:hAnsi="宋体" w:eastAsia="宋体" w:cs="宋体"/>
          <w:kern w:val="0"/>
          <w:szCs w:val="21"/>
        </w:rPr>
        <w:t>身</w:t>
      </w:r>
      <w:r>
        <w:rPr>
          <w:rFonts w:hint="eastAsia" w:ascii="宋体" w:hAnsi="宋体" w:eastAsia="宋体" w:cs="宋体"/>
          <w:spacing w:val="-2"/>
          <w:kern w:val="0"/>
          <w:szCs w:val="21"/>
        </w:rPr>
        <w:t>份</w:t>
      </w:r>
      <w:r>
        <w:rPr>
          <w:rFonts w:hint="eastAsia" w:ascii="宋体" w:hAnsi="宋体" w:eastAsia="宋体" w:cs="宋体"/>
          <w:kern w:val="0"/>
          <w:szCs w:val="21"/>
        </w:rPr>
        <w:t>证</w:t>
      </w:r>
      <w:r>
        <w:rPr>
          <w:rFonts w:hint="eastAsia" w:ascii="宋体" w:hAnsi="宋体" w:eastAsia="宋体" w:cs="宋体"/>
          <w:spacing w:val="-2"/>
          <w:kern w:val="0"/>
          <w:szCs w:val="21"/>
        </w:rPr>
        <w:t>复</w:t>
      </w:r>
      <w:r>
        <w:rPr>
          <w:rFonts w:hint="eastAsia" w:ascii="宋体" w:hAnsi="宋体" w:eastAsia="宋体" w:cs="宋体"/>
          <w:kern w:val="0"/>
          <w:szCs w:val="21"/>
        </w:rPr>
        <w:t>印</w:t>
      </w:r>
      <w:r>
        <w:rPr>
          <w:rFonts w:hint="eastAsia" w:ascii="宋体" w:hAnsi="宋体" w:eastAsia="宋体" w:cs="宋体"/>
          <w:spacing w:val="-2"/>
          <w:kern w:val="0"/>
          <w:szCs w:val="21"/>
        </w:rPr>
        <w:t>件</w:t>
      </w:r>
      <w:r>
        <w:rPr>
          <w:rFonts w:hint="eastAsia" w:ascii="宋体" w:hAnsi="宋体" w:eastAsia="宋体" w:cs="宋体"/>
          <w:kern w:val="0"/>
          <w:szCs w:val="21"/>
        </w:rPr>
        <w:t>。</w:t>
      </w:r>
    </w:p>
    <w:tbl>
      <w:tblPr>
        <w:tblStyle w:val="3"/>
        <w:tblW w:w="0" w:type="auto"/>
        <w:tblInd w:w="67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059"/>
        <w:gridCol w:w="4060"/>
      </w:tblGrid>
      <w:tr w14:paraId="00B3C3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45" w:hRule="atLeast"/>
        </w:trPr>
        <w:tc>
          <w:tcPr>
            <w:tcW w:w="4059" w:type="dxa"/>
            <w:tcBorders>
              <w:tl2br w:val="nil"/>
              <w:tr2bl w:val="nil"/>
            </w:tcBorders>
            <w:noWrap/>
            <w:vAlign w:val="center"/>
          </w:tcPr>
          <w:p w14:paraId="18312593">
            <w:pPr>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rPr>
              <w:t>身份证（正面）</w:t>
            </w:r>
            <w:r>
              <w:rPr>
                <w:rFonts w:hint="eastAsia" w:ascii="宋体" w:hAnsi="宋体" w:eastAsia="宋体" w:cs="宋体"/>
                <w:spacing w:val="-2"/>
                <w:kern w:val="0"/>
                <w:szCs w:val="21"/>
              </w:rPr>
              <w:t>复</w:t>
            </w:r>
            <w:r>
              <w:rPr>
                <w:rFonts w:hint="eastAsia" w:ascii="宋体" w:hAnsi="宋体" w:eastAsia="宋体" w:cs="宋体"/>
                <w:kern w:val="0"/>
                <w:szCs w:val="21"/>
              </w:rPr>
              <w:t>印</w:t>
            </w:r>
            <w:r>
              <w:rPr>
                <w:rFonts w:hint="eastAsia" w:ascii="宋体" w:hAnsi="宋体" w:eastAsia="宋体" w:cs="宋体"/>
                <w:spacing w:val="-2"/>
                <w:kern w:val="0"/>
                <w:szCs w:val="21"/>
              </w:rPr>
              <w:t>件</w:t>
            </w:r>
          </w:p>
        </w:tc>
        <w:tc>
          <w:tcPr>
            <w:tcW w:w="4060" w:type="dxa"/>
            <w:tcBorders>
              <w:tl2br w:val="nil"/>
              <w:tr2bl w:val="nil"/>
            </w:tcBorders>
            <w:noWrap/>
            <w:vAlign w:val="center"/>
          </w:tcPr>
          <w:p w14:paraId="307B2E80">
            <w:pPr>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rPr>
              <w:t>身份证（反面）</w:t>
            </w:r>
            <w:r>
              <w:rPr>
                <w:rFonts w:hint="eastAsia" w:ascii="宋体" w:hAnsi="宋体" w:eastAsia="宋体" w:cs="宋体"/>
                <w:spacing w:val="-2"/>
                <w:kern w:val="0"/>
                <w:szCs w:val="21"/>
              </w:rPr>
              <w:t>复</w:t>
            </w:r>
            <w:r>
              <w:rPr>
                <w:rFonts w:hint="eastAsia" w:ascii="宋体" w:hAnsi="宋体" w:eastAsia="宋体" w:cs="宋体"/>
                <w:kern w:val="0"/>
                <w:szCs w:val="21"/>
              </w:rPr>
              <w:t>印</w:t>
            </w:r>
            <w:r>
              <w:rPr>
                <w:rFonts w:hint="eastAsia" w:ascii="宋体" w:hAnsi="宋体" w:eastAsia="宋体" w:cs="宋体"/>
                <w:spacing w:val="-2"/>
                <w:kern w:val="0"/>
                <w:szCs w:val="21"/>
              </w:rPr>
              <w:t>件</w:t>
            </w:r>
          </w:p>
        </w:tc>
      </w:tr>
    </w:tbl>
    <w:p w14:paraId="0B6E97B6">
      <w:pPr>
        <w:adjustRightInd w:val="0"/>
        <w:snapToGrid w:val="0"/>
        <w:spacing w:line="360" w:lineRule="auto"/>
        <w:rPr>
          <w:rFonts w:hint="eastAsia" w:ascii="宋体" w:hAnsi="宋体" w:eastAsia="宋体" w:cs="宋体"/>
          <w:szCs w:val="21"/>
        </w:rPr>
      </w:pPr>
    </w:p>
    <w:p w14:paraId="2CBED618">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注：投标人代表为法定代表人（单位负责人）的提供。自然人投标的无需提供。</w:t>
      </w:r>
    </w:p>
    <w:p w14:paraId="302825CF">
      <w:pPr>
        <w:adjustRightInd w:val="0"/>
        <w:snapToGrid w:val="0"/>
        <w:spacing w:line="360" w:lineRule="auto"/>
        <w:rPr>
          <w:rFonts w:hint="eastAsia" w:ascii="宋体" w:hAnsi="宋体" w:eastAsia="宋体" w:cs="宋体"/>
          <w:szCs w:val="21"/>
        </w:rPr>
      </w:pPr>
    </w:p>
    <w:p w14:paraId="0F3F322F">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投标人名称（盖单位章）：</w:t>
      </w:r>
    </w:p>
    <w:p w14:paraId="0674E4D8">
      <w:pPr>
        <w:adjustRightInd w:val="0"/>
        <w:snapToGrid w:val="0"/>
        <w:spacing w:line="360" w:lineRule="auto"/>
        <w:ind w:right="420"/>
        <w:rPr>
          <w:rFonts w:hint="eastAsia" w:ascii="宋体" w:hAnsi="宋体" w:eastAsia="宋体" w:cs="宋体"/>
          <w:szCs w:val="21"/>
        </w:rPr>
      </w:pPr>
    </w:p>
    <w:p w14:paraId="4D7BF14C">
      <w:pPr>
        <w:adjustRightInd w:val="0"/>
        <w:snapToGrid w:val="0"/>
        <w:spacing w:line="360" w:lineRule="auto"/>
        <w:ind w:right="420"/>
        <w:rPr>
          <w:rFonts w:hint="eastAsia" w:ascii="宋体" w:hAnsi="宋体" w:eastAsia="宋体" w:cs="宋体"/>
          <w:szCs w:val="21"/>
        </w:rPr>
      </w:pPr>
      <w:r>
        <w:rPr>
          <w:rFonts w:hint="eastAsia" w:ascii="宋体" w:hAnsi="宋体" w:eastAsia="宋体" w:cs="宋体"/>
          <w:szCs w:val="21"/>
        </w:rPr>
        <w:t>日期：  年   月  日</w:t>
      </w:r>
    </w:p>
    <w:p w14:paraId="26E4C2FF">
      <w:pPr>
        <w:adjustRightInd w:val="0"/>
        <w:snapToGrid w:val="0"/>
        <w:spacing w:line="360" w:lineRule="auto"/>
        <w:rPr>
          <w:rFonts w:hint="eastAsia" w:ascii="宋体" w:hAnsi="宋体" w:eastAsia="宋体" w:cs="宋体"/>
        </w:rPr>
      </w:pPr>
    </w:p>
    <w:p w14:paraId="31196C48">
      <w:pPr>
        <w:widowControl/>
        <w:jc w:val="left"/>
        <w:rPr>
          <w:rFonts w:hint="eastAsia" w:ascii="宋体" w:hAnsi="宋体" w:eastAsia="宋体" w:cs="宋体"/>
        </w:rPr>
      </w:pPr>
      <w:r>
        <w:rPr>
          <w:rFonts w:hint="eastAsia" w:ascii="宋体" w:hAnsi="宋体" w:eastAsia="宋体" w:cs="宋体"/>
        </w:rPr>
        <w:br w:type="page"/>
      </w:r>
    </w:p>
    <w:p w14:paraId="375BD01D">
      <w:pPr>
        <w:keepNext/>
        <w:keepLines/>
        <w:widowControl w:val="0"/>
        <w:adjustRightInd w:val="0"/>
        <w:snapToGrid w:val="0"/>
        <w:spacing w:before="0" w:after="0" w:line="360" w:lineRule="auto"/>
        <w:jc w:val="center"/>
        <w:outlineLvl w:val="2"/>
        <w:rPr>
          <w:rFonts w:hint="eastAsia" w:ascii="宋体" w:hAnsi="宋体" w:eastAsia="宋体" w:cs="宋体"/>
          <w:b w:val="0"/>
          <w:bCs w:val="0"/>
          <w:kern w:val="0"/>
          <w:sz w:val="28"/>
          <w:szCs w:val="28"/>
          <w:lang w:val="zh-CN" w:eastAsia="zh-CN" w:bidi="zh-CN"/>
        </w:rPr>
      </w:pPr>
      <w:bookmarkStart w:id="152" w:name="_Toc25355"/>
      <w:r>
        <w:rPr>
          <w:rFonts w:hint="eastAsia" w:ascii="宋体" w:hAnsi="宋体" w:eastAsia="宋体" w:cs="宋体"/>
          <w:b w:val="0"/>
          <w:bCs w:val="0"/>
          <w:kern w:val="0"/>
          <w:sz w:val="28"/>
          <w:szCs w:val="28"/>
          <w:lang w:val="zh-CN" w:eastAsia="zh-CN" w:bidi="zh-CN"/>
        </w:rPr>
        <w:t>授权委托书</w:t>
      </w:r>
      <w:bookmarkEnd w:id="152"/>
    </w:p>
    <w:p w14:paraId="584BA6B9">
      <w:pPr>
        <w:autoSpaceDE w:val="0"/>
        <w:autoSpaceDN w:val="0"/>
        <w:adjustRightInd w:val="0"/>
        <w:snapToGrid w:val="0"/>
        <w:spacing w:line="360" w:lineRule="auto"/>
        <w:ind w:firstLine="446" w:firstLineChars="200"/>
        <w:jc w:val="left"/>
        <w:rPr>
          <w:rFonts w:hint="eastAsia" w:ascii="宋体" w:hAnsi="宋体" w:eastAsia="宋体" w:cs="宋体"/>
          <w:b/>
          <w:spacing w:val="6"/>
          <w:szCs w:val="21"/>
        </w:rPr>
      </w:pPr>
    </w:p>
    <w:p w14:paraId="6947FE44">
      <w:pPr>
        <w:autoSpaceDE w:val="0"/>
        <w:autoSpaceDN w:val="0"/>
        <w:adjustRightInd w:val="0"/>
        <w:snapToGrid w:val="0"/>
        <w:spacing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本人</w:t>
      </w:r>
      <w:r>
        <w:rPr>
          <w:rFonts w:hint="eastAsia" w:ascii="宋体" w:hAnsi="宋体" w:eastAsia="宋体" w:cs="宋体"/>
          <w:kern w:val="0"/>
          <w:position w:val="-4"/>
          <w:szCs w:val="21"/>
          <w:u w:val="single"/>
        </w:rPr>
        <w:t xml:space="preserve">       </w:t>
      </w:r>
      <w:r>
        <w:rPr>
          <w:rFonts w:hint="eastAsia" w:ascii="宋体" w:hAnsi="宋体" w:eastAsia="宋体" w:cs="宋体"/>
          <w:kern w:val="0"/>
          <w:szCs w:val="21"/>
        </w:rPr>
        <w:t>（姓名、职务）系</w:t>
      </w:r>
      <w:r>
        <w:rPr>
          <w:rFonts w:hint="eastAsia" w:ascii="宋体" w:hAnsi="宋体" w:eastAsia="宋体" w:cs="宋体"/>
          <w:kern w:val="0"/>
          <w:position w:val="-4"/>
          <w:szCs w:val="21"/>
          <w:u w:val="single"/>
        </w:rPr>
        <w:t xml:space="preserve">       </w:t>
      </w:r>
      <w:r>
        <w:rPr>
          <w:rFonts w:hint="eastAsia" w:ascii="宋体" w:hAnsi="宋体" w:eastAsia="宋体" w:cs="宋体"/>
          <w:kern w:val="0"/>
          <w:szCs w:val="21"/>
        </w:rPr>
        <w:t>（</w:t>
      </w:r>
      <w:r>
        <w:rPr>
          <w:rFonts w:hint="eastAsia" w:ascii="宋体" w:hAnsi="宋体" w:eastAsia="宋体" w:cs="宋体"/>
          <w:szCs w:val="21"/>
        </w:rPr>
        <w:t>投标人</w:t>
      </w:r>
      <w:r>
        <w:rPr>
          <w:rFonts w:hint="eastAsia" w:ascii="宋体" w:hAnsi="宋体" w:eastAsia="宋体" w:cs="宋体"/>
          <w:kern w:val="0"/>
          <w:szCs w:val="21"/>
        </w:rPr>
        <w:t>名称）的法定代表人（</w:t>
      </w:r>
      <w:r>
        <w:rPr>
          <w:rFonts w:hint="eastAsia" w:ascii="宋体" w:hAnsi="宋体" w:eastAsia="宋体" w:cs="宋体"/>
          <w:spacing w:val="-2"/>
          <w:kern w:val="0"/>
          <w:szCs w:val="21"/>
        </w:rPr>
        <w:t>单</w:t>
      </w:r>
      <w:r>
        <w:rPr>
          <w:rFonts w:hint="eastAsia" w:ascii="宋体" w:hAnsi="宋体" w:eastAsia="宋体" w:cs="宋体"/>
          <w:kern w:val="0"/>
          <w:szCs w:val="21"/>
        </w:rPr>
        <w:t>位</w:t>
      </w:r>
      <w:r>
        <w:rPr>
          <w:rFonts w:hint="eastAsia" w:ascii="宋体" w:hAnsi="宋体" w:eastAsia="宋体" w:cs="宋体"/>
          <w:spacing w:val="-2"/>
          <w:kern w:val="0"/>
          <w:szCs w:val="21"/>
        </w:rPr>
        <w:t>负</w:t>
      </w:r>
      <w:r>
        <w:rPr>
          <w:rFonts w:hint="eastAsia" w:ascii="宋体" w:hAnsi="宋体" w:eastAsia="宋体" w:cs="宋体"/>
          <w:kern w:val="0"/>
          <w:szCs w:val="21"/>
        </w:rPr>
        <w:t>责人</w:t>
      </w:r>
      <w:r>
        <w:rPr>
          <w:rFonts w:hint="eastAsia" w:ascii="宋体" w:hAnsi="宋体" w:eastAsia="宋体" w:cs="宋体"/>
          <w:spacing w:val="-2"/>
          <w:kern w:val="0"/>
          <w:szCs w:val="21"/>
        </w:rPr>
        <w:t>）</w:t>
      </w:r>
      <w:r>
        <w:rPr>
          <w:rFonts w:hint="eastAsia" w:ascii="宋体" w:hAnsi="宋体" w:eastAsia="宋体" w:cs="宋体"/>
          <w:kern w:val="0"/>
          <w:szCs w:val="21"/>
        </w:rPr>
        <w:t>，现授权</w:t>
      </w:r>
      <w:r>
        <w:rPr>
          <w:rFonts w:hint="eastAsia" w:ascii="宋体" w:hAnsi="宋体" w:eastAsia="宋体" w:cs="宋体"/>
          <w:kern w:val="0"/>
          <w:position w:val="-4"/>
          <w:szCs w:val="21"/>
          <w:u w:val="single"/>
        </w:rPr>
        <w:t xml:space="preserve">       </w:t>
      </w:r>
      <w:r>
        <w:rPr>
          <w:rFonts w:hint="eastAsia" w:ascii="宋体" w:hAnsi="宋体" w:eastAsia="宋体" w:cs="宋体"/>
          <w:kern w:val="0"/>
          <w:szCs w:val="21"/>
        </w:rPr>
        <w:t>（姓名、职务）为我方代理人。代理人根据授权，以我方名义签署、澄清、说明、补正、递交、撤回、修改</w:t>
      </w:r>
      <w:r>
        <w:rPr>
          <w:rFonts w:hint="eastAsia" w:ascii="宋体" w:hAnsi="宋体" w:eastAsia="宋体" w:cs="宋体"/>
          <w:kern w:val="0"/>
          <w:position w:val="-4"/>
          <w:szCs w:val="21"/>
          <w:u w:val="single"/>
        </w:rPr>
        <w:t xml:space="preserve">       </w:t>
      </w:r>
      <w:r>
        <w:rPr>
          <w:rFonts w:hint="eastAsia" w:ascii="宋体" w:hAnsi="宋体" w:eastAsia="宋体" w:cs="宋体"/>
          <w:kern w:val="0"/>
          <w:szCs w:val="21"/>
        </w:rPr>
        <w:t>（项目名称）（</w:t>
      </w:r>
      <w:r>
        <w:rPr>
          <w:rFonts w:hint="eastAsia" w:ascii="宋体" w:hAnsi="宋体" w:eastAsia="宋体" w:cs="宋体"/>
        </w:rPr>
        <w:t>政府</w:t>
      </w:r>
      <w:r>
        <w:rPr>
          <w:rFonts w:hint="eastAsia" w:ascii="宋体" w:hAnsi="宋体" w:eastAsia="宋体" w:cs="宋体"/>
          <w:iCs/>
        </w:rPr>
        <w:t>采购编号：</w:t>
      </w:r>
      <w:r>
        <w:rPr>
          <w:rFonts w:hint="eastAsia" w:ascii="宋体" w:hAnsi="宋体" w:eastAsia="宋体" w:cs="宋体"/>
          <w:kern w:val="0"/>
          <w:position w:val="-4"/>
          <w:szCs w:val="21"/>
          <w:u w:val="single"/>
        </w:rPr>
        <w:t xml:space="preserve">       </w:t>
      </w:r>
      <w:r>
        <w:rPr>
          <w:rFonts w:hint="eastAsia" w:ascii="宋体" w:hAnsi="宋体" w:eastAsia="宋体" w:cs="宋体"/>
          <w:kern w:val="0"/>
          <w:szCs w:val="21"/>
        </w:rPr>
        <w:t>采购代理编号：</w:t>
      </w:r>
      <w:r>
        <w:rPr>
          <w:rFonts w:hint="eastAsia" w:ascii="宋体" w:hAnsi="宋体" w:eastAsia="宋体" w:cs="宋体"/>
          <w:kern w:val="0"/>
          <w:position w:val="-4"/>
          <w:szCs w:val="21"/>
          <w:u w:val="single"/>
        </w:rPr>
        <w:t xml:space="preserve">       </w:t>
      </w:r>
      <w:r>
        <w:rPr>
          <w:rFonts w:hint="eastAsia" w:ascii="宋体" w:hAnsi="宋体" w:eastAsia="宋体" w:cs="宋体"/>
          <w:kern w:val="0"/>
          <w:szCs w:val="21"/>
        </w:rPr>
        <w:t>）投标文件、签订合同和处理有关事宜，其法律后果由我方承担。</w:t>
      </w:r>
    </w:p>
    <w:p w14:paraId="09F26899">
      <w:pPr>
        <w:autoSpaceDE w:val="0"/>
        <w:autoSpaceDN w:val="0"/>
        <w:adjustRightInd w:val="0"/>
        <w:snapToGrid w:val="0"/>
        <w:spacing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委托期限：</w:t>
      </w:r>
      <w:r>
        <w:rPr>
          <w:rFonts w:hint="eastAsia" w:ascii="宋体" w:hAnsi="宋体" w:eastAsia="宋体" w:cs="宋体"/>
          <w:kern w:val="0"/>
          <w:position w:val="-4"/>
          <w:szCs w:val="21"/>
          <w:u w:val="single"/>
        </w:rPr>
        <w:t xml:space="preserve">       </w:t>
      </w:r>
      <w:r>
        <w:rPr>
          <w:rFonts w:hint="eastAsia" w:ascii="宋体" w:hAnsi="宋体" w:eastAsia="宋体" w:cs="宋体"/>
          <w:kern w:val="0"/>
          <w:szCs w:val="21"/>
        </w:rPr>
        <w:t>。</w:t>
      </w:r>
    </w:p>
    <w:p w14:paraId="33A36CA8">
      <w:pPr>
        <w:adjustRightInd w:val="0"/>
        <w:snapToGrid w:val="0"/>
        <w:spacing w:line="360" w:lineRule="auto"/>
        <w:ind w:firstLine="435"/>
        <w:rPr>
          <w:rFonts w:hint="eastAsia" w:ascii="宋体" w:hAnsi="宋体" w:eastAsia="宋体" w:cs="宋体"/>
          <w:kern w:val="0"/>
          <w:szCs w:val="21"/>
        </w:rPr>
      </w:pPr>
      <w:r>
        <w:rPr>
          <w:rFonts w:hint="eastAsia" w:ascii="宋体" w:hAnsi="宋体" w:eastAsia="宋体" w:cs="宋体"/>
          <w:kern w:val="0"/>
          <w:szCs w:val="21"/>
        </w:rPr>
        <w:t>代理人无转委托权。</w:t>
      </w:r>
    </w:p>
    <w:p w14:paraId="1F8C2FEA">
      <w:pPr>
        <w:adjustRightInd w:val="0"/>
        <w:snapToGrid w:val="0"/>
        <w:spacing w:line="360" w:lineRule="auto"/>
        <w:ind w:firstLine="435"/>
        <w:rPr>
          <w:rFonts w:hint="eastAsia" w:ascii="宋体" w:hAnsi="宋体" w:eastAsia="宋体" w:cs="宋体"/>
          <w:kern w:val="0"/>
          <w:szCs w:val="21"/>
        </w:rPr>
      </w:pPr>
      <w:r>
        <w:rPr>
          <w:rFonts w:hint="eastAsia" w:ascii="宋体" w:hAnsi="宋体" w:eastAsia="宋体" w:cs="宋体"/>
          <w:szCs w:val="21"/>
        </w:rPr>
        <w:t>本授权书于</w:t>
      </w:r>
      <w:r>
        <w:rPr>
          <w:rFonts w:hint="eastAsia" w:ascii="宋体" w:hAnsi="宋体" w:eastAsia="宋体" w:cs="宋体"/>
          <w:kern w:val="0"/>
          <w:position w:val="-4"/>
          <w:szCs w:val="21"/>
          <w:u w:val="single"/>
        </w:rPr>
        <w:t xml:space="preserve">   </w:t>
      </w:r>
      <w:r>
        <w:rPr>
          <w:rFonts w:hint="eastAsia" w:ascii="宋体" w:hAnsi="宋体" w:eastAsia="宋体" w:cs="宋体"/>
          <w:szCs w:val="21"/>
        </w:rPr>
        <w:t>年</w:t>
      </w:r>
      <w:r>
        <w:rPr>
          <w:rFonts w:hint="eastAsia" w:ascii="宋体" w:hAnsi="宋体" w:eastAsia="宋体" w:cs="宋体"/>
          <w:kern w:val="0"/>
          <w:position w:val="-4"/>
          <w:szCs w:val="21"/>
          <w:u w:val="single"/>
        </w:rPr>
        <w:t xml:space="preserve">   </w:t>
      </w:r>
      <w:r>
        <w:rPr>
          <w:rFonts w:hint="eastAsia" w:ascii="宋体" w:hAnsi="宋体" w:eastAsia="宋体" w:cs="宋体"/>
          <w:szCs w:val="21"/>
        </w:rPr>
        <w:t>月</w:t>
      </w:r>
      <w:r>
        <w:rPr>
          <w:rFonts w:hint="eastAsia" w:ascii="宋体" w:hAnsi="宋体" w:eastAsia="宋体" w:cs="宋体"/>
          <w:kern w:val="0"/>
          <w:position w:val="-4"/>
          <w:szCs w:val="21"/>
          <w:u w:val="single"/>
        </w:rPr>
        <w:t xml:space="preserve">   </w:t>
      </w:r>
      <w:r>
        <w:rPr>
          <w:rFonts w:hint="eastAsia" w:ascii="宋体" w:hAnsi="宋体" w:eastAsia="宋体" w:cs="宋体"/>
          <w:szCs w:val="21"/>
        </w:rPr>
        <w:t>日签字生效，特此声明。</w:t>
      </w:r>
    </w:p>
    <w:tbl>
      <w:tblPr>
        <w:tblStyle w:val="3"/>
        <w:tblW w:w="0" w:type="auto"/>
        <w:tblInd w:w="67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839"/>
      </w:tblGrid>
      <w:tr w14:paraId="6C1E0A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0" w:hRule="atLeast"/>
        </w:trPr>
        <w:tc>
          <w:tcPr>
            <w:tcW w:w="7839" w:type="dxa"/>
            <w:tcBorders>
              <w:tl2br w:val="nil"/>
              <w:tr2bl w:val="nil"/>
            </w:tcBorders>
            <w:noWrap/>
            <w:vAlign w:val="center"/>
          </w:tcPr>
          <w:p w14:paraId="6016F767">
            <w:pPr>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rPr>
              <w:t>身份证（正反面）</w:t>
            </w:r>
            <w:r>
              <w:rPr>
                <w:rFonts w:hint="eastAsia" w:ascii="宋体" w:hAnsi="宋体" w:eastAsia="宋体" w:cs="宋体"/>
                <w:spacing w:val="-2"/>
                <w:kern w:val="0"/>
                <w:szCs w:val="21"/>
              </w:rPr>
              <w:t>复</w:t>
            </w:r>
            <w:r>
              <w:rPr>
                <w:rFonts w:hint="eastAsia" w:ascii="宋体" w:hAnsi="宋体" w:eastAsia="宋体" w:cs="宋体"/>
                <w:kern w:val="0"/>
                <w:szCs w:val="21"/>
              </w:rPr>
              <w:t>印</w:t>
            </w:r>
            <w:r>
              <w:rPr>
                <w:rFonts w:hint="eastAsia" w:ascii="宋体" w:hAnsi="宋体" w:eastAsia="宋体" w:cs="宋体"/>
                <w:spacing w:val="-2"/>
                <w:kern w:val="0"/>
                <w:szCs w:val="21"/>
              </w:rPr>
              <w:t>件</w:t>
            </w:r>
          </w:p>
        </w:tc>
      </w:tr>
    </w:tbl>
    <w:p w14:paraId="578A7EA8">
      <w:pPr>
        <w:adjustRightInd w:val="0"/>
        <w:snapToGrid w:val="0"/>
        <w:spacing w:line="360" w:lineRule="auto"/>
        <w:ind w:firstLine="420" w:firstLineChars="200"/>
        <w:rPr>
          <w:rFonts w:hint="eastAsia" w:ascii="宋体" w:hAnsi="宋体" w:eastAsia="宋体" w:cs="宋体"/>
          <w:szCs w:val="21"/>
        </w:rPr>
      </w:pPr>
    </w:p>
    <w:p w14:paraId="7729C779">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注：投标人代表不是投标人的法定代表人（单位负责人）的提供。自然人投标的无需提供。</w:t>
      </w:r>
    </w:p>
    <w:p w14:paraId="18D661FF">
      <w:pPr>
        <w:adjustRightInd w:val="0"/>
        <w:snapToGrid w:val="0"/>
        <w:spacing w:line="360" w:lineRule="auto"/>
        <w:ind w:firstLine="420" w:firstLineChars="200"/>
        <w:rPr>
          <w:rFonts w:hint="eastAsia" w:ascii="宋体" w:hAnsi="宋体" w:eastAsia="宋体" w:cs="宋体"/>
          <w:szCs w:val="21"/>
        </w:rPr>
      </w:pPr>
    </w:p>
    <w:p w14:paraId="737A42FC">
      <w:pPr>
        <w:adjustRightInd w:val="0"/>
        <w:snapToGrid w:val="0"/>
        <w:spacing w:line="360" w:lineRule="auto"/>
        <w:rPr>
          <w:rFonts w:hint="eastAsia" w:ascii="宋体" w:hAnsi="宋体" w:eastAsia="宋体" w:cs="宋体"/>
          <w:szCs w:val="21"/>
        </w:rPr>
      </w:pPr>
    </w:p>
    <w:p w14:paraId="3468A519">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投标人名称（盖单位章）：</w:t>
      </w:r>
    </w:p>
    <w:p w14:paraId="2D928B1F">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法定代表人（单位负责人）（签字或印章）：</w:t>
      </w:r>
    </w:p>
    <w:p w14:paraId="69EFF256">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委托代理人（签字或印章）：</w:t>
      </w:r>
    </w:p>
    <w:p w14:paraId="3530B16C">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日期：   年   月   日</w:t>
      </w:r>
    </w:p>
    <w:p w14:paraId="28135075">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br w:type="page"/>
      </w:r>
    </w:p>
    <w:p w14:paraId="08025247">
      <w:pPr>
        <w:keepNext/>
        <w:keepLines/>
        <w:widowControl w:val="0"/>
        <w:adjustRightInd w:val="0"/>
        <w:snapToGrid w:val="0"/>
        <w:spacing w:before="0" w:after="0" w:line="360" w:lineRule="auto"/>
        <w:jc w:val="center"/>
        <w:outlineLvl w:val="2"/>
        <w:rPr>
          <w:rFonts w:hint="eastAsia" w:ascii="宋体" w:hAnsi="宋体" w:eastAsia="宋体" w:cs="宋体"/>
          <w:b/>
          <w:bCs/>
          <w:kern w:val="2"/>
          <w:sz w:val="28"/>
          <w:szCs w:val="28"/>
          <w:lang w:val="en-US" w:eastAsia="zh-CN" w:bidi="ar-SA"/>
        </w:rPr>
      </w:pPr>
      <w:bookmarkStart w:id="153" w:name="_Toc11560"/>
      <w:bookmarkStart w:id="154" w:name="_Toc6747"/>
      <w:bookmarkStart w:id="155" w:name="_Toc1934"/>
      <w:bookmarkStart w:id="156" w:name="_Toc16087"/>
      <w:r>
        <w:rPr>
          <w:rFonts w:hint="eastAsia" w:ascii="宋体" w:hAnsi="宋体" w:eastAsia="宋体" w:cs="宋体"/>
          <w:b/>
          <w:bCs/>
          <w:kern w:val="2"/>
          <w:sz w:val="28"/>
          <w:szCs w:val="28"/>
          <w:lang w:val="en-US" w:eastAsia="zh-CN" w:bidi="ar-SA"/>
        </w:rPr>
        <w:t>（四）投标人提供的资格证明文件</w:t>
      </w:r>
      <w:bookmarkEnd w:id="153"/>
      <w:bookmarkEnd w:id="154"/>
      <w:bookmarkEnd w:id="155"/>
      <w:bookmarkEnd w:id="156"/>
    </w:p>
    <w:p w14:paraId="5C1B22FE">
      <w:pPr>
        <w:widowControl w:val="0"/>
        <w:adjustRightInd w:val="0"/>
        <w:snapToGrid w:val="0"/>
        <w:spacing w:line="360" w:lineRule="auto"/>
        <w:jc w:val="center"/>
        <w:rPr>
          <w:rFonts w:hint="eastAsia" w:ascii="宋体" w:hAnsi="宋体" w:eastAsia="宋体" w:cs="宋体"/>
          <w:b/>
          <w:bCs/>
          <w:kern w:val="2"/>
          <w:sz w:val="24"/>
          <w:szCs w:val="24"/>
          <w:lang w:val="en-US" w:eastAsia="zh-CN" w:bidi="ar-SA"/>
        </w:rPr>
      </w:pPr>
    </w:p>
    <w:p w14:paraId="181A42C4">
      <w:pPr>
        <w:widowControl w:val="0"/>
        <w:adjustRightInd w:val="0"/>
        <w:snapToGrid w:val="0"/>
        <w:spacing w:line="360" w:lineRule="auto"/>
        <w:jc w:val="center"/>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须  知</w:t>
      </w:r>
    </w:p>
    <w:p w14:paraId="42802089">
      <w:pPr>
        <w:tabs>
          <w:tab w:val="left" w:pos="4725"/>
        </w:tabs>
        <w:adjustRightInd w:val="0"/>
        <w:snapToGrid w:val="0"/>
        <w:spacing w:before="161" w:beforeLines="50" w:line="360" w:lineRule="auto"/>
        <w:ind w:firstLine="422" w:firstLineChars="200"/>
        <w:rPr>
          <w:rFonts w:hint="eastAsia" w:ascii="宋体" w:hAnsi="宋体" w:eastAsia="宋体" w:cs="Times New Roman"/>
          <w:b/>
          <w:bCs/>
          <w:szCs w:val="21"/>
        </w:rPr>
      </w:pPr>
      <w:r>
        <w:rPr>
          <w:rFonts w:hint="eastAsia" w:ascii="宋体" w:hAnsi="宋体" w:eastAsia="宋体" w:cs="Times New Roman"/>
          <w:b/>
          <w:szCs w:val="21"/>
        </w:rPr>
        <w:t>1、投标人</w:t>
      </w:r>
      <w:r>
        <w:rPr>
          <w:rFonts w:hint="eastAsia" w:ascii="宋体" w:hAnsi="宋体" w:eastAsia="宋体" w:cs="Times New Roman"/>
          <w:b/>
          <w:bCs/>
          <w:szCs w:val="21"/>
        </w:rPr>
        <w:t>应按第二章第15.1款要求提供下列的证明材料</w:t>
      </w:r>
    </w:p>
    <w:p w14:paraId="486CFE9C">
      <w:pPr>
        <w:tabs>
          <w:tab w:val="left" w:pos="4725"/>
        </w:tabs>
        <w:adjustRightInd w:val="0"/>
        <w:snapToGrid w:val="0"/>
        <w:spacing w:before="161" w:beforeLines="50" w:line="360" w:lineRule="auto"/>
        <w:ind w:firstLine="735" w:firstLineChars="350"/>
        <w:rPr>
          <w:rFonts w:hint="eastAsia" w:ascii="宋体" w:hAnsi="宋体" w:eastAsia="宋体" w:cs="Times New Roman"/>
          <w:szCs w:val="21"/>
        </w:rPr>
      </w:pPr>
      <w:r>
        <w:rPr>
          <w:rFonts w:hint="eastAsia" w:ascii="宋体" w:hAnsi="宋体" w:eastAsia="宋体" w:cs="Times New Roman"/>
          <w:szCs w:val="21"/>
        </w:rPr>
        <w:t>附件4-1 法人或者其他组织的营业执照等主体资格证明文件，自然人的身份证明</w:t>
      </w:r>
    </w:p>
    <w:p w14:paraId="18709485">
      <w:pPr>
        <w:tabs>
          <w:tab w:val="left" w:pos="4725"/>
        </w:tabs>
        <w:adjustRightInd w:val="0"/>
        <w:snapToGrid w:val="0"/>
        <w:spacing w:before="161" w:beforeLines="50" w:line="360" w:lineRule="auto"/>
        <w:ind w:firstLine="735" w:firstLineChars="350"/>
        <w:rPr>
          <w:rFonts w:hint="eastAsia" w:ascii="宋体" w:hAnsi="宋体" w:eastAsia="宋体" w:cs="Times New Roman"/>
          <w:szCs w:val="21"/>
        </w:rPr>
      </w:pPr>
      <w:r>
        <w:rPr>
          <w:rFonts w:hint="eastAsia" w:ascii="宋体" w:hAnsi="宋体" w:eastAsia="宋体" w:cs="Times New Roman"/>
          <w:szCs w:val="21"/>
        </w:rPr>
        <w:t>附件4-2 湖南省政府采购供应商资格承诺函(格式)</w:t>
      </w:r>
    </w:p>
    <w:p w14:paraId="31FE70BC">
      <w:pPr>
        <w:tabs>
          <w:tab w:val="left" w:pos="4725"/>
        </w:tabs>
        <w:adjustRightInd w:val="0"/>
        <w:snapToGrid w:val="0"/>
        <w:spacing w:before="161" w:beforeLines="50" w:line="360" w:lineRule="auto"/>
        <w:ind w:firstLine="735" w:firstLineChars="350"/>
        <w:rPr>
          <w:rFonts w:hint="eastAsia" w:ascii="宋体" w:hAnsi="宋体" w:eastAsia="宋体" w:cs="Times New Roman"/>
          <w:szCs w:val="21"/>
        </w:rPr>
      </w:pPr>
      <w:r>
        <w:rPr>
          <w:rFonts w:hint="eastAsia" w:ascii="宋体" w:hAnsi="宋体" w:eastAsia="宋体" w:cs="Times New Roman"/>
          <w:szCs w:val="21"/>
        </w:rPr>
        <w:t>附件4-3 符合特定资格条件证明材料复印件或者情况说明</w:t>
      </w:r>
    </w:p>
    <w:p w14:paraId="09379B8A">
      <w:pPr>
        <w:tabs>
          <w:tab w:val="left" w:pos="4725"/>
        </w:tabs>
        <w:adjustRightInd w:val="0"/>
        <w:snapToGrid w:val="0"/>
        <w:spacing w:before="161" w:beforeLines="50" w:line="360" w:lineRule="auto"/>
        <w:ind w:firstLine="735" w:firstLineChars="350"/>
        <w:rPr>
          <w:rFonts w:hint="eastAsia" w:ascii="宋体" w:hAnsi="宋体" w:eastAsia="宋体" w:cs="Times New Roman"/>
          <w:szCs w:val="21"/>
        </w:rPr>
      </w:pPr>
      <w:r>
        <w:rPr>
          <w:rFonts w:hint="eastAsia" w:ascii="宋体" w:hAnsi="宋体" w:eastAsia="宋体" w:cs="Times New Roman"/>
          <w:szCs w:val="21"/>
        </w:rPr>
        <w:t>附件4-4 联合体协议书（格式）（联合体形式投标的提供）</w:t>
      </w:r>
    </w:p>
    <w:p w14:paraId="3556BC4C">
      <w:pPr>
        <w:tabs>
          <w:tab w:val="left" w:pos="4725"/>
        </w:tabs>
        <w:adjustRightInd w:val="0"/>
        <w:snapToGrid w:val="0"/>
        <w:spacing w:before="161" w:beforeLines="50" w:line="360" w:lineRule="auto"/>
        <w:ind w:firstLine="420" w:firstLineChars="200"/>
        <w:rPr>
          <w:rFonts w:hint="eastAsia" w:ascii="宋体" w:hAnsi="宋体" w:eastAsia="宋体" w:cs="宋体"/>
          <w:szCs w:val="21"/>
        </w:rPr>
      </w:pPr>
      <w:r>
        <w:rPr>
          <w:rFonts w:hint="eastAsia" w:ascii="宋体" w:hAnsi="宋体" w:eastAsia="宋体" w:cs="Times New Roman"/>
          <w:szCs w:val="21"/>
        </w:rPr>
        <w:t>2、</w:t>
      </w:r>
      <w:r>
        <w:rPr>
          <w:rFonts w:hint="eastAsia" w:ascii="宋体" w:hAnsi="宋体" w:eastAsia="宋体" w:cs="宋体"/>
          <w:szCs w:val="21"/>
        </w:rPr>
        <w:t>投标人以联合体形式投标的，除应提交联合协议书(本节附4-4)外，参加联合体的各方均应提交上款资格证明材料。</w:t>
      </w:r>
    </w:p>
    <w:p w14:paraId="5B828E2B">
      <w:pPr>
        <w:tabs>
          <w:tab w:val="left" w:pos="4725"/>
        </w:tabs>
        <w:adjustRightInd w:val="0"/>
        <w:snapToGrid w:val="0"/>
        <w:spacing w:before="161"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3、附件4-5 分包承诺（执行强制分包的提供）。</w:t>
      </w:r>
    </w:p>
    <w:p w14:paraId="3A94EA4D">
      <w:pPr>
        <w:tabs>
          <w:tab w:val="left" w:pos="4725"/>
        </w:tabs>
        <w:adjustRightInd w:val="0"/>
        <w:snapToGrid w:val="0"/>
        <w:spacing w:before="161"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4、投标人的资格证明文件均应为有效文件并加盖投标人单位章，并按招标文件规定签署。</w:t>
      </w:r>
    </w:p>
    <w:p w14:paraId="7DED6E46">
      <w:pPr>
        <w:widowControl/>
        <w:adjustRightInd w:val="0"/>
        <w:snapToGrid w:val="0"/>
        <w:spacing w:line="360" w:lineRule="auto"/>
        <w:jc w:val="left"/>
        <w:rPr>
          <w:rFonts w:hint="eastAsia" w:ascii="宋体" w:hAnsi="宋体" w:eastAsia="宋体" w:cs="宋体"/>
          <w:szCs w:val="21"/>
        </w:rPr>
      </w:pPr>
      <w:r>
        <w:rPr>
          <w:rFonts w:hint="eastAsia" w:ascii="宋体" w:hAnsi="宋体" w:eastAsia="宋体" w:cs="宋体"/>
          <w:szCs w:val="21"/>
        </w:rPr>
        <w:br w:type="page"/>
      </w:r>
    </w:p>
    <w:bookmarkEnd w:id="140"/>
    <w:p w14:paraId="18AC7FA0">
      <w:pPr>
        <w:widowControl/>
        <w:adjustRightInd w:val="0"/>
        <w:snapToGrid w:val="0"/>
        <w:spacing w:line="360" w:lineRule="auto"/>
        <w:jc w:val="left"/>
        <w:rPr>
          <w:rFonts w:hint="eastAsia" w:ascii="黑体" w:hAnsi="仿宋" w:eastAsia="黑体" w:cs="宋体"/>
          <w:sz w:val="10"/>
          <w:szCs w:val="10"/>
        </w:rPr>
      </w:pPr>
    </w:p>
    <w:p w14:paraId="2CA8CAE8">
      <w:pPr>
        <w:keepNext/>
        <w:keepLines/>
        <w:widowControl w:val="0"/>
        <w:spacing w:before="280" w:after="290" w:line="376" w:lineRule="auto"/>
        <w:jc w:val="both"/>
        <w:outlineLvl w:val="3"/>
        <w:rPr>
          <w:rFonts w:hint="eastAsia" w:ascii="黑体" w:hAnsi="仿宋" w:eastAsia="黑体" w:cs="宋体"/>
          <w:b w:val="0"/>
          <w:bCs/>
          <w:kern w:val="2"/>
          <w:sz w:val="21"/>
          <w:szCs w:val="21"/>
          <w:lang w:val="en-US" w:eastAsia="zh-CN" w:bidi="ar-SA"/>
        </w:rPr>
      </w:pPr>
      <w:bookmarkStart w:id="157" w:name="_Toc6639"/>
      <w:r>
        <w:rPr>
          <w:rFonts w:hint="eastAsia" w:ascii="黑体" w:hAnsi="仿宋" w:eastAsia="黑体" w:cs="宋体"/>
          <w:b w:val="0"/>
          <w:bCs/>
          <w:kern w:val="2"/>
          <w:sz w:val="21"/>
          <w:szCs w:val="21"/>
          <w:lang w:val="en-US" w:eastAsia="zh-CN" w:bidi="ar-SA"/>
        </w:rPr>
        <w:t>附件4-1 法人或者其他组织的营业执照等主体资格证明文件，自然人的身份证明</w:t>
      </w:r>
      <w:bookmarkEnd w:id="157"/>
    </w:p>
    <w:p w14:paraId="627CFF72">
      <w:pPr>
        <w:widowControl/>
        <w:adjustRightInd w:val="0"/>
        <w:snapToGrid w:val="0"/>
        <w:spacing w:line="360" w:lineRule="auto"/>
        <w:jc w:val="center"/>
        <w:rPr>
          <w:rFonts w:hint="eastAsia" w:ascii="黑体" w:hAnsi="仿宋" w:eastAsia="黑体" w:cs="宋体"/>
          <w:b/>
          <w:sz w:val="28"/>
          <w:szCs w:val="28"/>
        </w:rPr>
      </w:pPr>
      <w:r>
        <w:rPr>
          <w:rFonts w:hint="eastAsia" w:ascii="黑体" w:hAnsi="仿宋" w:eastAsia="黑体" w:cs="宋体"/>
          <w:b/>
          <w:sz w:val="28"/>
          <w:szCs w:val="28"/>
        </w:rPr>
        <w:t>法人或者其他组织的营业执照等主体资格证明文件，自然人的身份证明</w:t>
      </w:r>
    </w:p>
    <w:p w14:paraId="70609818">
      <w:pPr>
        <w:widowControl/>
        <w:adjustRightInd w:val="0"/>
        <w:snapToGrid w:val="0"/>
        <w:spacing w:before="161" w:beforeLines="50" w:line="360" w:lineRule="auto"/>
        <w:ind w:firstLine="420" w:firstLineChars="200"/>
        <w:jc w:val="left"/>
        <w:rPr>
          <w:rFonts w:hint="eastAsia" w:ascii="宋体" w:hAnsi="宋体" w:eastAsia="宋体" w:cs="宋体"/>
          <w:szCs w:val="21"/>
        </w:rPr>
      </w:pPr>
    </w:p>
    <w:p w14:paraId="44B7CF33">
      <w:pPr>
        <w:adjustRightInd w:val="0"/>
        <w:snapToGrid w:val="0"/>
        <w:spacing w:before="161"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注：按第二章第</w:t>
      </w:r>
      <w:r>
        <w:rPr>
          <w:rFonts w:ascii="宋体" w:hAnsi="宋体" w:eastAsia="宋体" w:cs="宋体"/>
          <w:szCs w:val="21"/>
        </w:rPr>
        <w:t>1</w:t>
      </w:r>
      <w:r>
        <w:rPr>
          <w:rFonts w:hint="eastAsia" w:ascii="宋体" w:hAnsi="宋体" w:eastAsia="宋体" w:cs="宋体"/>
          <w:szCs w:val="21"/>
        </w:rPr>
        <w:t>4</w:t>
      </w:r>
      <w:r>
        <w:rPr>
          <w:rFonts w:ascii="宋体" w:hAnsi="宋体" w:eastAsia="宋体" w:cs="宋体"/>
          <w:szCs w:val="21"/>
        </w:rPr>
        <w:t>.1</w:t>
      </w:r>
      <w:r>
        <w:rPr>
          <w:rFonts w:hint="eastAsia" w:ascii="宋体" w:hAnsi="宋体" w:eastAsia="宋体" w:cs="宋体"/>
          <w:szCs w:val="21"/>
        </w:rPr>
        <w:t>（1）项要求提供。</w:t>
      </w:r>
    </w:p>
    <w:p w14:paraId="5A94A261">
      <w:pPr>
        <w:adjustRightInd w:val="0"/>
        <w:snapToGrid w:val="0"/>
        <w:spacing w:before="161" w:beforeLines="50" w:line="360" w:lineRule="auto"/>
        <w:ind w:firstLine="420" w:firstLineChars="200"/>
        <w:rPr>
          <w:rFonts w:hint="eastAsia" w:ascii="宋体" w:hAnsi="宋体" w:eastAsia="宋体" w:cs="Times New Roman"/>
        </w:rPr>
      </w:pPr>
      <w:r>
        <w:rPr>
          <w:rFonts w:hint="eastAsia" w:ascii="宋体" w:hAnsi="宋体" w:eastAsia="宋体" w:cs="宋体"/>
          <w:szCs w:val="21"/>
        </w:rPr>
        <w:t>（1）</w:t>
      </w:r>
      <w:r>
        <w:rPr>
          <w:rFonts w:hint="eastAsia" w:ascii="宋体" w:hAnsi="宋体" w:eastAsia="宋体" w:cs="Times New Roman"/>
        </w:rPr>
        <w:t>投标人为法人的，应提交营业执照或法人登记证书的复印件；</w:t>
      </w:r>
    </w:p>
    <w:p w14:paraId="13264EB0">
      <w:pPr>
        <w:adjustRightInd w:val="0"/>
        <w:snapToGrid w:val="0"/>
        <w:spacing w:before="161" w:beforeLines="50" w:line="360" w:lineRule="auto"/>
        <w:ind w:firstLine="420" w:firstLineChars="200"/>
        <w:rPr>
          <w:rFonts w:hint="eastAsia" w:ascii="宋体" w:hAnsi="宋体" w:eastAsia="宋体" w:cs="Times New Roman"/>
        </w:rPr>
      </w:pPr>
      <w:r>
        <w:rPr>
          <w:rFonts w:hint="eastAsia" w:ascii="宋体" w:hAnsi="宋体" w:eastAsia="宋体" w:cs="宋体"/>
          <w:szCs w:val="21"/>
        </w:rPr>
        <w:t>（2）</w:t>
      </w:r>
      <w:r>
        <w:rPr>
          <w:rFonts w:hint="eastAsia" w:ascii="宋体" w:hAnsi="宋体" w:eastAsia="宋体" w:cs="Times New Roman"/>
        </w:rPr>
        <w:t>投标人为非法人组织的，应提交依法登记证书复印件；</w:t>
      </w:r>
    </w:p>
    <w:p w14:paraId="3FA57B8C">
      <w:pPr>
        <w:adjustRightInd w:val="0"/>
        <w:snapToGrid w:val="0"/>
        <w:spacing w:before="161" w:beforeLines="50" w:line="360" w:lineRule="auto"/>
        <w:ind w:firstLine="420" w:firstLineChars="200"/>
        <w:rPr>
          <w:rFonts w:hint="eastAsia" w:ascii="宋体" w:hAnsi="宋体" w:eastAsia="宋体" w:cs="Times New Roman"/>
        </w:rPr>
      </w:pPr>
      <w:r>
        <w:rPr>
          <w:rFonts w:hint="eastAsia" w:ascii="宋体" w:hAnsi="宋体" w:eastAsia="宋体" w:cs="宋体"/>
          <w:szCs w:val="21"/>
        </w:rPr>
        <w:t>（3）</w:t>
      </w:r>
      <w:r>
        <w:rPr>
          <w:rFonts w:hint="eastAsia" w:ascii="宋体" w:hAnsi="宋体" w:eastAsia="宋体" w:cs="Times New Roman"/>
        </w:rPr>
        <w:t>投标人为个体工商户的，应提交个体工商户营业执照复印件；</w:t>
      </w:r>
    </w:p>
    <w:p w14:paraId="4A8179E2">
      <w:pPr>
        <w:adjustRightInd w:val="0"/>
        <w:snapToGrid w:val="0"/>
        <w:spacing w:before="161" w:beforeLines="50" w:line="360" w:lineRule="auto"/>
        <w:ind w:firstLine="420" w:firstLineChars="200"/>
        <w:rPr>
          <w:rFonts w:hint="eastAsia" w:ascii="宋体" w:hAnsi="宋体" w:eastAsia="宋体" w:cs="Times New Roman"/>
        </w:rPr>
      </w:pPr>
      <w:r>
        <w:rPr>
          <w:rFonts w:hint="eastAsia" w:ascii="宋体" w:hAnsi="宋体" w:eastAsia="宋体" w:cs="宋体"/>
          <w:szCs w:val="21"/>
        </w:rPr>
        <w:t>（4）</w:t>
      </w:r>
      <w:r>
        <w:rPr>
          <w:rFonts w:hint="eastAsia" w:ascii="宋体" w:hAnsi="宋体" w:eastAsia="宋体" w:cs="Times New Roman"/>
        </w:rPr>
        <w:t>投标人为自然人的，应提交自然人的身份证明复印件。</w:t>
      </w:r>
    </w:p>
    <w:p w14:paraId="642DACA4">
      <w:pPr>
        <w:adjustRightInd w:val="0"/>
        <w:snapToGrid w:val="0"/>
        <w:spacing w:before="161" w:beforeLines="50" w:line="360" w:lineRule="auto"/>
        <w:ind w:firstLine="420" w:firstLineChars="200"/>
        <w:rPr>
          <w:rFonts w:hint="eastAsia" w:ascii="宋体" w:hAnsi="宋体" w:eastAsia="宋体" w:cs="Times New Roman"/>
        </w:rPr>
      </w:pPr>
    </w:p>
    <w:p w14:paraId="4744EBBD">
      <w:pPr>
        <w:widowControl/>
        <w:jc w:val="left"/>
        <w:rPr>
          <w:rFonts w:hint="eastAsia" w:ascii="黑体" w:hAnsi="仿宋" w:eastAsia="黑体" w:cs="宋体"/>
          <w:bCs/>
          <w:sz w:val="10"/>
          <w:szCs w:val="10"/>
        </w:rPr>
      </w:pPr>
      <w:r>
        <w:rPr>
          <w:rFonts w:ascii="黑体" w:hAnsi="仿宋" w:eastAsia="宋体" w:cs="宋体"/>
          <w:b/>
          <w:szCs w:val="21"/>
        </w:rPr>
        <w:br w:type="page"/>
      </w:r>
    </w:p>
    <w:p w14:paraId="3A149B89">
      <w:pPr>
        <w:keepNext/>
        <w:keepLines/>
        <w:widowControl w:val="0"/>
        <w:adjustRightInd w:val="0"/>
        <w:snapToGrid w:val="0"/>
        <w:spacing w:before="161" w:beforeLines="50" w:after="0" w:line="360" w:lineRule="auto"/>
        <w:jc w:val="both"/>
        <w:outlineLvl w:val="3"/>
        <w:rPr>
          <w:rFonts w:hint="eastAsia" w:ascii="黑体" w:hAnsi="仿宋" w:eastAsia="黑体" w:cs="宋体"/>
          <w:b w:val="0"/>
          <w:bCs/>
          <w:kern w:val="2"/>
          <w:sz w:val="21"/>
          <w:szCs w:val="21"/>
          <w:lang w:val="en-US" w:eastAsia="zh-CN" w:bidi="ar-SA"/>
        </w:rPr>
      </w:pPr>
      <w:bookmarkStart w:id="158" w:name="_Toc17351"/>
      <w:r>
        <w:rPr>
          <w:rFonts w:hint="eastAsia" w:ascii="黑体" w:hAnsi="仿宋" w:eastAsia="黑体" w:cs="宋体"/>
          <w:b w:val="0"/>
          <w:bCs/>
          <w:kern w:val="2"/>
          <w:sz w:val="21"/>
          <w:szCs w:val="21"/>
          <w:lang w:val="en-US" w:eastAsia="zh-CN" w:bidi="ar-SA"/>
        </w:rPr>
        <w:t>附件4-2 湖南省政府采购供应商资格承诺函(格式)</w:t>
      </w:r>
      <w:bookmarkEnd w:id="158"/>
    </w:p>
    <w:p w14:paraId="439FA37F">
      <w:pPr>
        <w:widowControl/>
        <w:adjustRightInd w:val="0"/>
        <w:snapToGrid w:val="0"/>
        <w:spacing w:before="484" w:beforeLines="150" w:line="360" w:lineRule="auto"/>
        <w:jc w:val="center"/>
        <w:rPr>
          <w:rFonts w:hint="eastAsia" w:ascii="宋体" w:hAnsi="宋体" w:eastAsia="宋体" w:cs="宋体"/>
          <w:szCs w:val="21"/>
        </w:rPr>
      </w:pPr>
      <w:r>
        <w:rPr>
          <w:rFonts w:hint="eastAsia" w:ascii="黑体" w:hAnsi="仿宋" w:eastAsia="黑体" w:cs="宋体"/>
          <w:b/>
          <w:sz w:val="28"/>
          <w:szCs w:val="28"/>
        </w:rPr>
        <w:t>湖南省政府采购供应商资格承诺函(格式)</w:t>
      </w:r>
    </w:p>
    <w:p w14:paraId="5E5018F9">
      <w:pPr>
        <w:widowControl/>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1DB007E">
      <w:pPr>
        <w:widowControl/>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按照《政府采购促进中小企业发展管理办法》(财库〔2020〕46号)，本公司企业规模为： 大型口中型口小型□微型□。</w:t>
      </w:r>
    </w:p>
    <w:p w14:paraId="09AEBB2B">
      <w:pPr>
        <w:widowControl/>
        <w:spacing w:before="161" w:beforeLines="50" w:line="360" w:lineRule="auto"/>
        <w:ind w:firstLine="420" w:firstLineChars="200"/>
        <w:jc w:val="left"/>
        <w:rPr>
          <w:rFonts w:hint="eastAsia" w:ascii="宋体" w:hAnsi="宋体" w:eastAsia="宋体" w:cs="宋体"/>
          <w:szCs w:val="21"/>
        </w:rPr>
      </w:pPr>
    </w:p>
    <w:p w14:paraId="0F4F087C">
      <w:pPr>
        <w:widowControl/>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公司(单位)名称(盖章)：</w:t>
      </w:r>
    </w:p>
    <w:p w14:paraId="660548CC">
      <w:pPr>
        <w:widowControl/>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机构代码、注册登记机构、日期、有效期、注册资本、地 址、经济行业、经济性质</w:t>
      </w:r>
    </w:p>
    <w:p w14:paraId="73C6AC72">
      <w:pPr>
        <w:widowControl/>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法定代表人(负责人)姓名</w:t>
      </w:r>
      <w:r>
        <w:rPr>
          <w:rFonts w:hint="eastAsia" w:ascii="宋体" w:hAnsi="宋体" w:eastAsia="宋体" w:cs="宋体"/>
          <w:b/>
          <w:bCs/>
          <w:szCs w:val="21"/>
        </w:rPr>
        <w:t>(签字)</w:t>
      </w:r>
      <w:r>
        <w:rPr>
          <w:rFonts w:hint="eastAsia" w:ascii="宋体" w:hAnsi="宋体" w:eastAsia="宋体" w:cs="宋体"/>
          <w:szCs w:val="21"/>
        </w:rPr>
        <w:t>、身份证号、手机号：</w:t>
      </w:r>
    </w:p>
    <w:p w14:paraId="27D298A9">
      <w:pPr>
        <w:widowControl/>
        <w:spacing w:before="161" w:beforeLines="50" w:line="360" w:lineRule="auto"/>
        <w:ind w:firstLine="420" w:firstLineChars="200"/>
        <w:jc w:val="left"/>
        <w:rPr>
          <w:rFonts w:hint="eastAsia" w:ascii="宋体" w:hAnsi="宋体" w:eastAsia="宋体" w:cs="宋体"/>
          <w:szCs w:val="21"/>
        </w:rPr>
      </w:pPr>
      <w:r>
        <w:rPr>
          <w:rFonts w:hint="eastAsia" w:ascii="宋体" w:hAnsi="宋体" w:eastAsia="宋体" w:cs="宋体"/>
          <w:szCs w:val="21"/>
        </w:rPr>
        <w:t>授权代表人姓名</w:t>
      </w:r>
      <w:r>
        <w:rPr>
          <w:rFonts w:hint="eastAsia" w:ascii="宋体" w:hAnsi="宋体" w:eastAsia="宋体" w:cs="宋体"/>
          <w:b/>
          <w:bCs/>
          <w:szCs w:val="21"/>
        </w:rPr>
        <w:t>(签字)</w:t>
      </w:r>
      <w:r>
        <w:rPr>
          <w:rFonts w:hint="eastAsia" w:ascii="宋体" w:hAnsi="宋体" w:eastAsia="宋体" w:cs="宋体"/>
          <w:szCs w:val="21"/>
        </w:rPr>
        <w:t>、身份证号、手机号：</w:t>
      </w:r>
    </w:p>
    <w:p w14:paraId="55375FFD">
      <w:pPr>
        <w:widowControl/>
        <w:spacing w:before="161" w:beforeLines="50" w:line="360" w:lineRule="auto"/>
        <w:ind w:firstLine="420" w:firstLineChars="200"/>
        <w:jc w:val="left"/>
        <w:rPr>
          <w:rFonts w:hint="eastAsia" w:ascii="宋体" w:hAnsi="宋体" w:eastAsia="宋体" w:cs="宋体"/>
          <w:szCs w:val="21"/>
        </w:rPr>
      </w:pPr>
    </w:p>
    <w:p w14:paraId="486A4985">
      <w:pPr>
        <w:widowControl/>
        <w:spacing w:line="360" w:lineRule="auto"/>
        <w:ind w:firstLine="422" w:firstLineChars="200"/>
        <w:jc w:val="left"/>
        <w:rPr>
          <w:rFonts w:hint="eastAsia" w:ascii="黑体" w:hAnsi="仿宋" w:eastAsia="黑体" w:cs="宋体"/>
          <w:bCs/>
          <w:sz w:val="10"/>
          <w:szCs w:val="10"/>
        </w:rPr>
      </w:pPr>
      <w:r>
        <w:rPr>
          <w:rFonts w:ascii="黑体" w:hAnsi="仿宋" w:eastAsia="宋体" w:cs="宋体"/>
          <w:b/>
          <w:szCs w:val="21"/>
        </w:rPr>
        <w:br w:type="page"/>
      </w:r>
    </w:p>
    <w:p w14:paraId="309360A3">
      <w:pPr>
        <w:keepNext/>
        <w:keepLines/>
        <w:widowControl w:val="0"/>
        <w:spacing w:before="0" w:after="290" w:line="376" w:lineRule="auto"/>
        <w:jc w:val="both"/>
        <w:outlineLvl w:val="3"/>
        <w:rPr>
          <w:rFonts w:hint="eastAsia" w:ascii="黑体" w:hAnsi="仿宋" w:eastAsia="黑体" w:cs="宋体"/>
          <w:b w:val="0"/>
          <w:bCs/>
          <w:kern w:val="2"/>
          <w:sz w:val="21"/>
          <w:szCs w:val="21"/>
          <w:lang w:val="en-US" w:eastAsia="zh-CN" w:bidi="ar-SA"/>
        </w:rPr>
      </w:pPr>
      <w:bookmarkStart w:id="159" w:name="_Toc26324"/>
      <w:r>
        <w:rPr>
          <w:rFonts w:hint="eastAsia" w:ascii="黑体" w:hAnsi="仿宋" w:eastAsia="黑体" w:cs="宋体"/>
          <w:b w:val="0"/>
          <w:bCs/>
          <w:kern w:val="2"/>
          <w:sz w:val="21"/>
          <w:szCs w:val="21"/>
          <w:lang w:val="en-US" w:eastAsia="zh-CN" w:bidi="ar-SA"/>
        </w:rPr>
        <w:t>附件4-3 符合特定资格条件证明材料复印件或者情况说明</w:t>
      </w:r>
      <w:bookmarkEnd w:id="159"/>
    </w:p>
    <w:p w14:paraId="20EF2795">
      <w:pPr>
        <w:widowControl/>
        <w:adjustRightInd w:val="0"/>
        <w:snapToGrid w:val="0"/>
        <w:spacing w:line="360" w:lineRule="auto"/>
        <w:jc w:val="center"/>
        <w:rPr>
          <w:rFonts w:hint="eastAsia" w:ascii="宋体" w:hAnsi="宋体" w:eastAsia="宋体" w:cs="宋体"/>
          <w:szCs w:val="21"/>
        </w:rPr>
      </w:pPr>
      <w:r>
        <w:rPr>
          <w:rFonts w:hint="eastAsia" w:ascii="黑体" w:hAnsi="仿宋" w:eastAsia="黑体" w:cs="宋体"/>
          <w:b/>
          <w:sz w:val="28"/>
          <w:szCs w:val="28"/>
        </w:rPr>
        <w:t>符合特定资格条件证明材料复印件或者情况说明</w:t>
      </w:r>
    </w:p>
    <w:p w14:paraId="11CE34DB">
      <w:pPr>
        <w:widowControl/>
        <w:adjustRightInd w:val="0"/>
        <w:snapToGrid w:val="0"/>
        <w:spacing w:line="360" w:lineRule="auto"/>
        <w:ind w:firstLine="420" w:firstLineChars="200"/>
        <w:jc w:val="left"/>
        <w:rPr>
          <w:rFonts w:hint="eastAsia" w:ascii="宋体" w:hAnsi="宋体" w:eastAsia="宋体" w:cs="宋体"/>
          <w:szCs w:val="21"/>
        </w:rPr>
      </w:pPr>
      <w:bookmarkStart w:id="160" w:name="_Toc26276"/>
    </w:p>
    <w:p w14:paraId="2ECE721A">
      <w:pPr>
        <w:widowControl/>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注：按第二章第</w:t>
      </w:r>
      <w:r>
        <w:rPr>
          <w:rFonts w:ascii="宋体" w:hAnsi="宋体" w:eastAsia="宋体" w:cs="宋体"/>
          <w:szCs w:val="21"/>
        </w:rPr>
        <w:t>1</w:t>
      </w:r>
      <w:r>
        <w:rPr>
          <w:rFonts w:hint="eastAsia" w:ascii="宋体" w:hAnsi="宋体" w:eastAsia="宋体" w:cs="宋体"/>
          <w:szCs w:val="21"/>
        </w:rPr>
        <w:t>4</w:t>
      </w:r>
      <w:r>
        <w:rPr>
          <w:rFonts w:ascii="宋体" w:hAnsi="宋体" w:eastAsia="宋体" w:cs="宋体"/>
          <w:szCs w:val="21"/>
        </w:rPr>
        <w:t>.1</w:t>
      </w:r>
      <w:r>
        <w:rPr>
          <w:rFonts w:hint="eastAsia" w:ascii="宋体" w:hAnsi="宋体" w:eastAsia="宋体" w:cs="宋体"/>
          <w:szCs w:val="21"/>
        </w:rPr>
        <w:t>（3）项要求提供。</w:t>
      </w:r>
    </w:p>
    <w:p w14:paraId="40FC204B">
      <w:pPr>
        <w:widowControl w:val="0"/>
        <w:ind w:firstLine="422" w:firstLineChars="200"/>
        <w:jc w:val="both"/>
        <w:rPr>
          <w:rFonts w:hint="eastAsia" w:ascii="黑体" w:hAnsi="仿宋" w:eastAsia="宋体" w:cs="宋体"/>
          <w:b/>
          <w:kern w:val="2"/>
          <w:sz w:val="21"/>
          <w:szCs w:val="22"/>
          <w:lang w:val="en-US" w:eastAsia="zh-CN" w:bidi="ar-SA"/>
        </w:rPr>
      </w:pPr>
    </w:p>
    <w:p w14:paraId="236FB6B6">
      <w:pPr>
        <w:widowControl w:val="0"/>
        <w:ind w:firstLine="422" w:firstLineChars="200"/>
        <w:jc w:val="both"/>
        <w:rPr>
          <w:rFonts w:hint="eastAsia" w:ascii="黑体" w:hAnsi="仿宋" w:eastAsia="宋体" w:cs="宋体"/>
          <w:b/>
          <w:kern w:val="2"/>
          <w:sz w:val="21"/>
          <w:szCs w:val="22"/>
          <w:lang w:val="en-US" w:eastAsia="zh-CN" w:bidi="ar-SA"/>
        </w:rPr>
      </w:pPr>
    </w:p>
    <w:p w14:paraId="0FC13950">
      <w:pPr>
        <w:widowControl w:val="0"/>
        <w:ind w:firstLine="422" w:firstLineChars="200"/>
        <w:jc w:val="both"/>
        <w:rPr>
          <w:rFonts w:hint="eastAsia" w:ascii="黑体" w:hAnsi="仿宋" w:eastAsia="宋体" w:cs="宋体"/>
          <w:b/>
          <w:kern w:val="2"/>
          <w:sz w:val="21"/>
          <w:szCs w:val="22"/>
          <w:lang w:val="en-US" w:eastAsia="zh-CN" w:bidi="ar-SA"/>
        </w:rPr>
      </w:pPr>
    </w:p>
    <w:p w14:paraId="02C079B3">
      <w:pPr>
        <w:widowControl w:val="0"/>
        <w:ind w:firstLine="422" w:firstLineChars="200"/>
        <w:jc w:val="both"/>
        <w:rPr>
          <w:rFonts w:hint="eastAsia" w:ascii="黑体" w:hAnsi="仿宋" w:eastAsia="宋体" w:cs="宋体"/>
          <w:b/>
          <w:kern w:val="2"/>
          <w:sz w:val="21"/>
          <w:szCs w:val="22"/>
          <w:lang w:val="en-US" w:eastAsia="zh-CN" w:bidi="ar-SA"/>
        </w:rPr>
      </w:pPr>
    </w:p>
    <w:p w14:paraId="2D096E04">
      <w:pPr>
        <w:widowControl w:val="0"/>
        <w:ind w:firstLine="422" w:firstLineChars="200"/>
        <w:jc w:val="both"/>
        <w:rPr>
          <w:rFonts w:hint="eastAsia" w:ascii="黑体" w:hAnsi="仿宋" w:eastAsia="宋体" w:cs="宋体"/>
          <w:b/>
          <w:kern w:val="2"/>
          <w:sz w:val="21"/>
          <w:szCs w:val="22"/>
          <w:lang w:val="en-US" w:eastAsia="zh-CN" w:bidi="ar-SA"/>
        </w:rPr>
      </w:pPr>
    </w:p>
    <w:p w14:paraId="5DCE6CD1">
      <w:pPr>
        <w:widowControl w:val="0"/>
        <w:ind w:firstLine="422" w:firstLineChars="200"/>
        <w:jc w:val="both"/>
        <w:rPr>
          <w:rFonts w:hint="eastAsia" w:ascii="黑体" w:hAnsi="仿宋" w:eastAsia="宋体" w:cs="宋体"/>
          <w:b/>
          <w:kern w:val="2"/>
          <w:sz w:val="21"/>
          <w:szCs w:val="22"/>
          <w:lang w:val="en-US" w:eastAsia="zh-CN" w:bidi="ar-SA"/>
        </w:rPr>
      </w:pPr>
    </w:p>
    <w:p w14:paraId="533164D7">
      <w:pPr>
        <w:widowControl w:val="0"/>
        <w:ind w:firstLine="422" w:firstLineChars="200"/>
        <w:jc w:val="both"/>
        <w:rPr>
          <w:rFonts w:hint="eastAsia" w:ascii="黑体" w:hAnsi="仿宋" w:eastAsia="宋体" w:cs="宋体"/>
          <w:b/>
          <w:kern w:val="2"/>
          <w:sz w:val="21"/>
          <w:szCs w:val="22"/>
          <w:lang w:val="en-US" w:eastAsia="zh-CN" w:bidi="ar-SA"/>
        </w:rPr>
      </w:pPr>
    </w:p>
    <w:p w14:paraId="28F680EC">
      <w:pPr>
        <w:widowControl w:val="0"/>
        <w:ind w:firstLine="422" w:firstLineChars="200"/>
        <w:jc w:val="both"/>
        <w:rPr>
          <w:rFonts w:hint="eastAsia" w:ascii="黑体" w:hAnsi="仿宋" w:eastAsia="宋体" w:cs="宋体"/>
          <w:b/>
          <w:kern w:val="2"/>
          <w:sz w:val="21"/>
          <w:szCs w:val="22"/>
          <w:lang w:val="en-US" w:eastAsia="zh-CN" w:bidi="ar-SA"/>
        </w:rPr>
      </w:pPr>
    </w:p>
    <w:p w14:paraId="13BC9808">
      <w:pPr>
        <w:widowControl w:val="0"/>
        <w:ind w:firstLine="422" w:firstLineChars="200"/>
        <w:jc w:val="both"/>
        <w:rPr>
          <w:rFonts w:hint="eastAsia" w:ascii="黑体" w:hAnsi="仿宋" w:eastAsia="宋体" w:cs="宋体"/>
          <w:b/>
          <w:kern w:val="2"/>
          <w:sz w:val="21"/>
          <w:szCs w:val="22"/>
          <w:lang w:val="en-US" w:eastAsia="zh-CN" w:bidi="ar-SA"/>
        </w:rPr>
      </w:pPr>
    </w:p>
    <w:p w14:paraId="45212A85">
      <w:pPr>
        <w:widowControl w:val="0"/>
        <w:ind w:firstLine="422" w:firstLineChars="200"/>
        <w:jc w:val="both"/>
        <w:rPr>
          <w:rFonts w:hint="eastAsia" w:ascii="黑体" w:hAnsi="仿宋" w:eastAsia="宋体" w:cs="宋体"/>
          <w:b/>
          <w:kern w:val="2"/>
          <w:sz w:val="21"/>
          <w:szCs w:val="22"/>
          <w:lang w:val="en-US" w:eastAsia="zh-CN" w:bidi="ar-SA"/>
        </w:rPr>
      </w:pPr>
    </w:p>
    <w:p w14:paraId="24691253">
      <w:pPr>
        <w:widowControl w:val="0"/>
        <w:ind w:firstLine="422" w:firstLineChars="200"/>
        <w:jc w:val="both"/>
        <w:rPr>
          <w:rFonts w:hint="eastAsia" w:ascii="黑体" w:hAnsi="仿宋" w:eastAsia="宋体" w:cs="宋体"/>
          <w:b/>
          <w:kern w:val="2"/>
          <w:sz w:val="21"/>
          <w:szCs w:val="22"/>
          <w:lang w:val="en-US" w:eastAsia="zh-CN" w:bidi="ar-SA"/>
        </w:rPr>
      </w:pPr>
    </w:p>
    <w:p w14:paraId="6DF0C41B">
      <w:pPr>
        <w:widowControl w:val="0"/>
        <w:ind w:firstLine="422" w:firstLineChars="200"/>
        <w:jc w:val="both"/>
        <w:rPr>
          <w:rFonts w:hint="eastAsia" w:ascii="黑体" w:hAnsi="仿宋" w:eastAsia="宋体" w:cs="宋体"/>
          <w:b/>
          <w:kern w:val="2"/>
          <w:sz w:val="21"/>
          <w:szCs w:val="22"/>
          <w:lang w:val="en-US" w:eastAsia="zh-CN" w:bidi="ar-SA"/>
        </w:rPr>
      </w:pPr>
    </w:p>
    <w:p w14:paraId="48A0245D">
      <w:pPr>
        <w:widowControl w:val="0"/>
        <w:ind w:firstLine="422" w:firstLineChars="200"/>
        <w:jc w:val="both"/>
        <w:rPr>
          <w:rFonts w:hint="eastAsia" w:ascii="黑体" w:hAnsi="仿宋" w:eastAsia="宋体" w:cs="宋体"/>
          <w:b/>
          <w:kern w:val="2"/>
          <w:sz w:val="21"/>
          <w:szCs w:val="22"/>
          <w:lang w:val="en-US" w:eastAsia="zh-CN" w:bidi="ar-SA"/>
        </w:rPr>
      </w:pPr>
    </w:p>
    <w:p w14:paraId="429FD4A2">
      <w:pPr>
        <w:widowControl w:val="0"/>
        <w:ind w:firstLine="422" w:firstLineChars="200"/>
        <w:jc w:val="both"/>
        <w:rPr>
          <w:rFonts w:hint="eastAsia" w:ascii="黑体" w:hAnsi="仿宋" w:eastAsia="宋体" w:cs="宋体"/>
          <w:b/>
          <w:kern w:val="2"/>
          <w:sz w:val="21"/>
          <w:szCs w:val="22"/>
          <w:lang w:val="en-US" w:eastAsia="zh-CN" w:bidi="ar-SA"/>
        </w:rPr>
      </w:pPr>
    </w:p>
    <w:p w14:paraId="08AD2452">
      <w:pPr>
        <w:widowControl w:val="0"/>
        <w:ind w:firstLine="422" w:firstLineChars="200"/>
        <w:jc w:val="both"/>
        <w:rPr>
          <w:rFonts w:hint="eastAsia" w:ascii="黑体" w:hAnsi="仿宋" w:eastAsia="宋体" w:cs="宋体"/>
          <w:b/>
          <w:kern w:val="2"/>
          <w:sz w:val="21"/>
          <w:szCs w:val="22"/>
          <w:lang w:val="en-US" w:eastAsia="zh-CN" w:bidi="ar-SA"/>
        </w:rPr>
      </w:pPr>
    </w:p>
    <w:p w14:paraId="75570C9E">
      <w:pPr>
        <w:widowControl w:val="0"/>
        <w:ind w:firstLine="422" w:firstLineChars="200"/>
        <w:jc w:val="both"/>
        <w:rPr>
          <w:rFonts w:hint="eastAsia" w:ascii="黑体" w:hAnsi="仿宋" w:eastAsia="宋体" w:cs="宋体"/>
          <w:b/>
          <w:kern w:val="2"/>
          <w:sz w:val="21"/>
          <w:szCs w:val="22"/>
          <w:lang w:val="en-US" w:eastAsia="zh-CN" w:bidi="ar-SA"/>
        </w:rPr>
      </w:pPr>
    </w:p>
    <w:p w14:paraId="278BF765">
      <w:pPr>
        <w:widowControl w:val="0"/>
        <w:ind w:firstLine="422" w:firstLineChars="200"/>
        <w:jc w:val="both"/>
        <w:rPr>
          <w:rFonts w:hint="eastAsia" w:ascii="黑体" w:hAnsi="仿宋" w:eastAsia="宋体" w:cs="宋体"/>
          <w:b/>
          <w:kern w:val="2"/>
          <w:sz w:val="21"/>
          <w:szCs w:val="22"/>
          <w:lang w:val="en-US" w:eastAsia="zh-CN" w:bidi="ar-SA"/>
        </w:rPr>
      </w:pPr>
    </w:p>
    <w:p w14:paraId="3F9EAA0B">
      <w:pPr>
        <w:widowControl w:val="0"/>
        <w:ind w:firstLine="422" w:firstLineChars="200"/>
        <w:jc w:val="both"/>
        <w:rPr>
          <w:rFonts w:hint="eastAsia" w:ascii="黑体" w:hAnsi="仿宋" w:eastAsia="宋体" w:cs="宋体"/>
          <w:b/>
          <w:kern w:val="2"/>
          <w:sz w:val="21"/>
          <w:szCs w:val="22"/>
          <w:lang w:val="en-US" w:eastAsia="zh-CN" w:bidi="ar-SA"/>
        </w:rPr>
      </w:pPr>
    </w:p>
    <w:p w14:paraId="44EE455B">
      <w:pPr>
        <w:widowControl w:val="0"/>
        <w:ind w:firstLine="422" w:firstLineChars="200"/>
        <w:jc w:val="both"/>
        <w:rPr>
          <w:rFonts w:hint="eastAsia" w:ascii="黑体" w:hAnsi="仿宋" w:eastAsia="宋体" w:cs="宋体"/>
          <w:b/>
          <w:kern w:val="2"/>
          <w:sz w:val="21"/>
          <w:szCs w:val="22"/>
          <w:lang w:val="en-US" w:eastAsia="zh-CN" w:bidi="ar-SA"/>
        </w:rPr>
      </w:pPr>
    </w:p>
    <w:p w14:paraId="03E79A57">
      <w:pPr>
        <w:widowControl w:val="0"/>
        <w:ind w:firstLine="422" w:firstLineChars="200"/>
        <w:jc w:val="both"/>
        <w:rPr>
          <w:rFonts w:hint="eastAsia" w:ascii="黑体" w:hAnsi="仿宋" w:eastAsia="宋体" w:cs="宋体"/>
          <w:b/>
          <w:kern w:val="2"/>
          <w:sz w:val="21"/>
          <w:szCs w:val="22"/>
          <w:lang w:val="en-US" w:eastAsia="zh-CN" w:bidi="ar-SA"/>
        </w:rPr>
      </w:pPr>
    </w:p>
    <w:p w14:paraId="6718ACC2">
      <w:pPr>
        <w:widowControl w:val="0"/>
        <w:ind w:firstLine="422" w:firstLineChars="200"/>
        <w:jc w:val="both"/>
        <w:rPr>
          <w:rFonts w:hint="eastAsia" w:ascii="黑体" w:hAnsi="仿宋" w:eastAsia="宋体" w:cs="宋体"/>
          <w:b/>
          <w:kern w:val="2"/>
          <w:sz w:val="21"/>
          <w:szCs w:val="22"/>
          <w:lang w:val="en-US" w:eastAsia="zh-CN" w:bidi="ar-SA"/>
        </w:rPr>
      </w:pPr>
    </w:p>
    <w:p w14:paraId="38A86E50">
      <w:pPr>
        <w:widowControl w:val="0"/>
        <w:ind w:firstLine="422" w:firstLineChars="200"/>
        <w:jc w:val="both"/>
        <w:rPr>
          <w:rFonts w:hint="eastAsia" w:ascii="黑体" w:hAnsi="仿宋" w:eastAsia="宋体" w:cs="宋体"/>
          <w:b/>
          <w:kern w:val="2"/>
          <w:sz w:val="21"/>
          <w:szCs w:val="22"/>
          <w:lang w:val="en-US" w:eastAsia="zh-CN" w:bidi="ar-SA"/>
        </w:rPr>
      </w:pPr>
    </w:p>
    <w:p w14:paraId="309CB2C1">
      <w:pPr>
        <w:widowControl w:val="0"/>
        <w:ind w:firstLine="422" w:firstLineChars="200"/>
        <w:jc w:val="both"/>
        <w:rPr>
          <w:rFonts w:hint="eastAsia" w:ascii="黑体" w:hAnsi="仿宋" w:eastAsia="宋体" w:cs="宋体"/>
          <w:b/>
          <w:kern w:val="2"/>
          <w:sz w:val="21"/>
          <w:szCs w:val="22"/>
          <w:lang w:val="en-US" w:eastAsia="zh-CN" w:bidi="ar-SA"/>
        </w:rPr>
      </w:pPr>
    </w:p>
    <w:p w14:paraId="068258BA">
      <w:pPr>
        <w:widowControl w:val="0"/>
        <w:ind w:firstLine="422" w:firstLineChars="200"/>
        <w:jc w:val="both"/>
        <w:rPr>
          <w:rFonts w:hint="eastAsia" w:ascii="黑体" w:hAnsi="仿宋" w:eastAsia="宋体" w:cs="宋体"/>
          <w:b/>
          <w:kern w:val="2"/>
          <w:sz w:val="21"/>
          <w:szCs w:val="22"/>
          <w:lang w:val="en-US" w:eastAsia="zh-CN" w:bidi="ar-SA"/>
        </w:rPr>
      </w:pPr>
    </w:p>
    <w:p w14:paraId="51929D67">
      <w:pPr>
        <w:widowControl w:val="0"/>
        <w:ind w:firstLine="422" w:firstLineChars="200"/>
        <w:jc w:val="both"/>
        <w:rPr>
          <w:rFonts w:hint="eastAsia" w:ascii="黑体" w:hAnsi="仿宋" w:eastAsia="宋体" w:cs="宋体"/>
          <w:b/>
          <w:kern w:val="2"/>
          <w:sz w:val="21"/>
          <w:szCs w:val="22"/>
          <w:lang w:val="en-US" w:eastAsia="zh-CN" w:bidi="ar-SA"/>
        </w:rPr>
      </w:pPr>
    </w:p>
    <w:p w14:paraId="00AD5D5A">
      <w:pPr>
        <w:widowControl w:val="0"/>
        <w:ind w:firstLine="422" w:firstLineChars="200"/>
        <w:jc w:val="both"/>
        <w:rPr>
          <w:rFonts w:hint="eastAsia" w:ascii="黑体" w:hAnsi="仿宋" w:eastAsia="宋体" w:cs="宋体"/>
          <w:b/>
          <w:kern w:val="2"/>
          <w:sz w:val="21"/>
          <w:szCs w:val="22"/>
          <w:lang w:val="en-US" w:eastAsia="zh-CN" w:bidi="ar-SA"/>
        </w:rPr>
      </w:pPr>
    </w:p>
    <w:p w14:paraId="15E2EC83">
      <w:pPr>
        <w:widowControl w:val="0"/>
        <w:ind w:firstLine="422" w:firstLineChars="200"/>
        <w:jc w:val="both"/>
        <w:rPr>
          <w:rFonts w:hint="eastAsia" w:ascii="黑体" w:hAnsi="仿宋" w:eastAsia="宋体" w:cs="宋体"/>
          <w:b/>
          <w:kern w:val="2"/>
          <w:sz w:val="21"/>
          <w:szCs w:val="22"/>
          <w:lang w:val="en-US" w:eastAsia="zh-CN" w:bidi="ar-SA"/>
        </w:rPr>
      </w:pPr>
    </w:p>
    <w:p w14:paraId="3D981484">
      <w:pPr>
        <w:rPr>
          <w:rFonts w:hint="eastAsia" w:ascii="黑体" w:hAnsi="仿宋" w:eastAsia="宋体" w:cs="宋体"/>
          <w:szCs w:val="21"/>
        </w:rPr>
      </w:pPr>
      <w:r>
        <w:rPr>
          <w:rFonts w:hint="eastAsia" w:ascii="黑体" w:hAnsi="仿宋" w:eastAsia="宋体" w:cs="宋体"/>
          <w:szCs w:val="21"/>
        </w:rPr>
        <w:br w:type="page"/>
      </w:r>
    </w:p>
    <w:p w14:paraId="0E57D067">
      <w:pPr>
        <w:keepNext/>
        <w:keepLines/>
        <w:widowControl w:val="0"/>
        <w:spacing w:before="0" w:after="290" w:line="376" w:lineRule="auto"/>
        <w:jc w:val="both"/>
        <w:outlineLvl w:val="3"/>
        <w:rPr>
          <w:rFonts w:hint="eastAsia" w:ascii="黑体" w:hAnsi="宋体" w:eastAsia="黑体" w:cs="宋体"/>
          <w:b w:val="0"/>
          <w:bCs/>
          <w:kern w:val="0"/>
          <w:sz w:val="21"/>
          <w:szCs w:val="21"/>
          <w:lang w:val="en-US" w:eastAsia="zh-CN" w:bidi="ar-SA"/>
        </w:rPr>
      </w:pPr>
      <w:r>
        <w:rPr>
          <w:rFonts w:hint="eastAsia" w:ascii="黑体" w:hAnsi="仿宋" w:eastAsia="黑体" w:cs="宋体"/>
          <w:b w:val="0"/>
          <w:bCs/>
          <w:kern w:val="2"/>
          <w:sz w:val="21"/>
          <w:szCs w:val="21"/>
          <w:lang w:val="en-US" w:eastAsia="zh-CN" w:bidi="ar-SA"/>
        </w:rPr>
        <w:t>附件4-4 联合体协议书（格式）</w:t>
      </w:r>
      <w:bookmarkEnd w:id="160"/>
    </w:p>
    <w:p w14:paraId="59E2C34D">
      <w:pPr>
        <w:adjustRightInd w:val="0"/>
        <w:snapToGrid w:val="0"/>
        <w:spacing w:line="360" w:lineRule="auto"/>
        <w:jc w:val="center"/>
        <w:rPr>
          <w:rFonts w:hint="eastAsia" w:ascii="宋体" w:hAnsi="宋体" w:eastAsia="宋体" w:cs="Times New Roman"/>
          <w:b/>
          <w:szCs w:val="21"/>
        </w:rPr>
      </w:pPr>
      <w:r>
        <w:rPr>
          <w:rFonts w:hint="eastAsia" w:ascii="黑体" w:hAnsi="仿宋" w:eastAsia="黑体" w:cs="宋体"/>
          <w:b/>
          <w:sz w:val="28"/>
          <w:szCs w:val="28"/>
        </w:rPr>
        <w:t>联合体协议书（格式）</w:t>
      </w:r>
    </w:p>
    <w:p w14:paraId="6B6B508A">
      <w:pPr>
        <w:adjustRightInd w:val="0"/>
        <w:snapToGrid w:val="0"/>
        <w:spacing w:line="360" w:lineRule="auto"/>
        <w:rPr>
          <w:rFonts w:hint="eastAsia" w:ascii="宋体" w:hAnsi="宋体" w:eastAsia="宋体" w:cs="Times New Roman"/>
          <w:szCs w:val="21"/>
        </w:rPr>
      </w:pPr>
    </w:p>
    <w:p w14:paraId="0EFDA9BC">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致</w:t>
      </w:r>
      <w:r>
        <w:rPr>
          <w:rFonts w:hint="eastAsia" w:ascii="宋体" w:hAnsi="宋体" w:eastAsia="宋体" w:cs="Times New Roman"/>
          <w:szCs w:val="21"/>
          <w:u w:val="single"/>
        </w:rPr>
        <w:t xml:space="preserve">                   </w:t>
      </w:r>
      <w:r>
        <w:rPr>
          <w:rFonts w:hint="eastAsia" w:ascii="宋体" w:hAnsi="宋体" w:eastAsia="宋体" w:cs="Times New Roman"/>
          <w:szCs w:val="21"/>
        </w:rPr>
        <w:t>（采购人、采购代理机构）：</w:t>
      </w:r>
    </w:p>
    <w:p w14:paraId="34653E7B">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经研究，我们决定自愿组成联合体共同参加</w:t>
      </w:r>
      <w:r>
        <w:rPr>
          <w:rFonts w:hint="eastAsia" w:ascii="宋体" w:hAnsi="宋体" w:eastAsia="宋体" w:cs="Times New Roman"/>
          <w:szCs w:val="21"/>
          <w:u w:val="single"/>
        </w:rPr>
        <w:t xml:space="preserve">                    </w:t>
      </w:r>
      <w:r>
        <w:rPr>
          <w:rFonts w:hint="eastAsia" w:ascii="宋体" w:hAnsi="宋体" w:eastAsia="宋体" w:cs="Times New Roman"/>
          <w:szCs w:val="21"/>
        </w:rPr>
        <w:t>（项目名称</w:t>
      </w:r>
      <w:r>
        <w:rPr>
          <w:rFonts w:ascii="宋体" w:hAnsi="宋体" w:eastAsia="宋体" w:cs="Times New Roman"/>
          <w:szCs w:val="21"/>
        </w:rPr>
        <w:t>）</w:t>
      </w:r>
      <w:r>
        <w:rPr>
          <w:rFonts w:hint="eastAsia" w:ascii="宋体" w:hAnsi="宋体" w:eastAsia="宋体" w:cs="Times New Roman"/>
          <w:szCs w:val="21"/>
        </w:rPr>
        <w:t>（政府采购计划编号：</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）项目的投标。现就联合体投标事宜订立如下协议：</w:t>
      </w:r>
    </w:p>
    <w:p w14:paraId="2B1ABC77">
      <w:pPr>
        <w:adjustRightInd w:val="0"/>
        <w:snapToGrid w:val="0"/>
        <w:spacing w:line="360" w:lineRule="auto"/>
        <w:ind w:firstLine="420" w:firstLineChars="200"/>
        <w:rPr>
          <w:rFonts w:hint="eastAsia" w:ascii="宋体" w:hAnsi="宋体" w:eastAsia="宋体" w:cs="Times New Roman"/>
          <w:szCs w:val="21"/>
          <w:u w:val="single"/>
        </w:rPr>
      </w:pPr>
      <w:r>
        <w:rPr>
          <w:rFonts w:hint="eastAsia" w:ascii="宋体" w:hAnsi="宋体" w:eastAsia="宋体" w:cs="Times New Roman"/>
          <w:szCs w:val="21"/>
        </w:rPr>
        <w:t>一、联合体基本信息：</w:t>
      </w:r>
      <w:r>
        <w:rPr>
          <w:rFonts w:hint="eastAsia" w:ascii="宋体" w:hAnsi="宋体" w:eastAsia="宋体" w:cs="Times New Roman"/>
          <w:szCs w:val="21"/>
          <w:u w:val="single"/>
        </w:rPr>
        <w:t xml:space="preserve">                </w:t>
      </w:r>
      <w:r>
        <w:rPr>
          <w:rFonts w:hint="eastAsia" w:ascii="宋体" w:hAnsi="宋体" w:eastAsia="宋体" w:cs="Times New Roman"/>
          <w:szCs w:val="21"/>
        </w:rPr>
        <w:t>（各方公司名称、地址、注册资金、营业执照、</w:t>
      </w:r>
      <w:r>
        <w:rPr>
          <w:rFonts w:hint="eastAsia" w:ascii="宋体" w:hAnsi="宋体" w:eastAsia="宋体" w:cs="微软雅黑"/>
          <w:spacing w:val="-2"/>
          <w:kern w:val="0"/>
          <w:szCs w:val="21"/>
        </w:rPr>
        <w:t>法</w:t>
      </w:r>
      <w:r>
        <w:rPr>
          <w:rFonts w:hint="eastAsia" w:ascii="宋体" w:hAnsi="宋体" w:eastAsia="宋体" w:cs="微软雅黑"/>
          <w:kern w:val="0"/>
          <w:szCs w:val="21"/>
        </w:rPr>
        <w:t>定</w:t>
      </w:r>
      <w:r>
        <w:rPr>
          <w:rFonts w:hint="eastAsia" w:ascii="宋体" w:hAnsi="宋体" w:eastAsia="宋体" w:cs="微软雅黑"/>
          <w:spacing w:val="-2"/>
          <w:kern w:val="0"/>
          <w:szCs w:val="21"/>
        </w:rPr>
        <w:t>代</w:t>
      </w:r>
      <w:r>
        <w:rPr>
          <w:rFonts w:hint="eastAsia" w:ascii="宋体" w:hAnsi="宋体" w:eastAsia="宋体" w:cs="微软雅黑"/>
          <w:kern w:val="0"/>
          <w:szCs w:val="21"/>
        </w:rPr>
        <w:t>表</w:t>
      </w:r>
      <w:r>
        <w:rPr>
          <w:rFonts w:hint="eastAsia" w:ascii="宋体" w:hAnsi="宋体" w:eastAsia="宋体" w:cs="微软雅黑"/>
          <w:spacing w:val="-2"/>
          <w:kern w:val="0"/>
          <w:szCs w:val="21"/>
        </w:rPr>
        <w:t>人</w:t>
      </w:r>
      <w:r>
        <w:rPr>
          <w:rFonts w:hint="eastAsia" w:ascii="宋体" w:hAnsi="宋体" w:eastAsia="宋体" w:cs="微软雅黑"/>
          <w:kern w:val="0"/>
          <w:szCs w:val="21"/>
        </w:rPr>
        <w:t>（</w:t>
      </w:r>
      <w:r>
        <w:rPr>
          <w:rFonts w:hint="eastAsia" w:ascii="宋体" w:hAnsi="宋体" w:eastAsia="宋体" w:cs="微软雅黑"/>
          <w:spacing w:val="-2"/>
          <w:kern w:val="0"/>
          <w:szCs w:val="21"/>
        </w:rPr>
        <w:t>单</w:t>
      </w:r>
      <w:r>
        <w:rPr>
          <w:rFonts w:hint="eastAsia" w:ascii="宋体" w:hAnsi="宋体" w:eastAsia="宋体" w:cs="微软雅黑"/>
          <w:kern w:val="0"/>
          <w:szCs w:val="21"/>
        </w:rPr>
        <w:t>位</w:t>
      </w:r>
      <w:r>
        <w:rPr>
          <w:rFonts w:hint="eastAsia" w:ascii="宋体" w:hAnsi="宋体" w:eastAsia="宋体" w:cs="微软雅黑"/>
          <w:spacing w:val="-2"/>
          <w:kern w:val="0"/>
          <w:szCs w:val="21"/>
        </w:rPr>
        <w:t>负</w:t>
      </w:r>
      <w:r>
        <w:rPr>
          <w:rFonts w:hint="eastAsia" w:ascii="宋体" w:hAnsi="宋体" w:eastAsia="宋体" w:cs="微软雅黑"/>
          <w:kern w:val="0"/>
          <w:szCs w:val="21"/>
        </w:rPr>
        <w:t>责人</w:t>
      </w:r>
      <w:r>
        <w:rPr>
          <w:rFonts w:hint="eastAsia" w:ascii="宋体" w:hAnsi="宋体" w:eastAsia="宋体" w:cs="微软雅黑"/>
          <w:spacing w:val="-2"/>
          <w:kern w:val="0"/>
          <w:szCs w:val="21"/>
        </w:rPr>
        <w:t>）</w:t>
      </w:r>
      <w:r>
        <w:rPr>
          <w:rFonts w:hint="eastAsia" w:ascii="宋体" w:hAnsi="宋体" w:eastAsia="宋体" w:cs="Times New Roman"/>
          <w:szCs w:val="21"/>
        </w:rPr>
        <w:t>姓名）</w:t>
      </w:r>
    </w:p>
    <w:p w14:paraId="3BBCFB85">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二、</w:t>
      </w:r>
      <w:r>
        <w:rPr>
          <w:rFonts w:hint="eastAsia" w:ascii="宋体" w:hAnsi="宋体" w:eastAsia="宋体" w:cs="Times New Roman"/>
          <w:szCs w:val="21"/>
          <w:u w:val="single"/>
        </w:rPr>
        <w:t xml:space="preserve">       </w:t>
      </w:r>
      <w:r>
        <w:rPr>
          <w:rFonts w:hint="eastAsia" w:ascii="宋体" w:hAnsi="宋体" w:eastAsia="宋体" w:cs="Times New Roman"/>
          <w:szCs w:val="21"/>
        </w:rPr>
        <w:t>（某成员单位名称）为</w:t>
      </w:r>
      <w:r>
        <w:rPr>
          <w:rFonts w:hint="eastAsia" w:ascii="宋体" w:hAnsi="宋体" w:eastAsia="宋体" w:cs="Times New Roman"/>
          <w:szCs w:val="21"/>
          <w:u w:val="single"/>
        </w:rPr>
        <w:t xml:space="preserve">        </w:t>
      </w:r>
      <w:r>
        <w:rPr>
          <w:rFonts w:hint="eastAsia" w:ascii="宋体" w:hAnsi="宋体" w:eastAsia="宋体" w:cs="Times New Roman"/>
          <w:szCs w:val="21"/>
        </w:rPr>
        <w:t>（联合体名称）牵头人。</w:t>
      </w:r>
    </w:p>
    <w:p w14:paraId="5C09F26F">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三、联合体牵头人合法代表联合体各成员负责本项目投标文件编制活动，代表联合体提交和接收相关的资料、信息及指示，并处理与投标有关的一切事务；联合体中标后，联合体牵头人负责合同订立和合同实施阶段的主办、组织和协调工作。</w:t>
      </w:r>
    </w:p>
    <w:p w14:paraId="04A6735B">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四．联合体将严格按照招标文件的各项要求，递交投标文件，参加投标，履行中标义务和中标后的合同，并向采购人承担连带责任。</w:t>
      </w:r>
    </w:p>
    <w:p w14:paraId="00A4142C">
      <w:pPr>
        <w:adjustRightInd w:val="0"/>
        <w:snapToGrid w:val="0"/>
        <w:spacing w:line="360" w:lineRule="auto"/>
        <w:ind w:firstLine="420" w:firstLineChars="200"/>
        <w:rPr>
          <w:rFonts w:hint="eastAsia" w:ascii="宋体" w:hAnsi="宋体" w:eastAsia="宋体" w:cs="Times New Roman"/>
          <w:szCs w:val="21"/>
          <w:u w:val="single"/>
        </w:rPr>
      </w:pPr>
      <w:r>
        <w:rPr>
          <w:rFonts w:hint="eastAsia" w:ascii="宋体" w:hAnsi="宋体" w:eastAsia="宋体" w:cs="Times New Roman"/>
          <w:szCs w:val="21"/>
        </w:rPr>
        <w:t>五、联合体各成员单位内部的职责分工如下：</w:t>
      </w:r>
      <w:r>
        <w:rPr>
          <w:rFonts w:hint="eastAsia" w:ascii="宋体" w:hAnsi="宋体" w:eastAsia="宋体" w:cs="Times New Roman"/>
          <w:szCs w:val="21"/>
          <w:u w:val="single"/>
        </w:rPr>
        <w:t xml:space="preserve">             </w:t>
      </w:r>
      <w:r>
        <w:rPr>
          <w:rFonts w:hint="eastAsia" w:ascii="宋体" w:hAnsi="宋体" w:eastAsia="宋体" w:cs="Times New Roman"/>
          <w:szCs w:val="21"/>
        </w:rPr>
        <w:t>。按照本条上述分工，联合体各成员的协议合同金额占联合体协议合同总金额比例如下：</w:t>
      </w:r>
      <w:r>
        <w:rPr>
          <w:rFonts w:hint="eastAsia" w:ascii="宋体" w:hAnsi="宋体" w:eastAsia="宋体" w:cs="Times New Roman"/>
          <w:szCs w:val="21"/>
          <w:u w:val="single"/>
        </w:rPr>
        <w:t xml:space="preserve">               </w:t>
      </w:r>
      <w:r>
        <w:rPr>
          <w:rFonts w:hint="eastAsia" w:ascii="宋体" w:hAnsi="宋体" w:eastAsia="宋体" w:cs="Times New Roman"/>
          <w:szCs w:val="21"/>
        </w:rPr>
        <w:t>。</w:t>
      </w:r>
    </w:p>
    <w:p w14:paraId="31A6929C">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六、本协议书自签署之日起生效，合同履行完毕后自动失效。</w:t>
      </w:r>
    </w:p>
    <w:p w14:paraId="5E532E1B">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七、本协议书一式</w:t>
      </w:r>
      <w:r>
        <w:rPr>
          <w:rFonts w:hint="eastAsia" w:ascii="宋体" w:hAnsi="宋体" w:eastAsia="宋体" w:cs="Times New Roman"/>
          <w:szCs w:val="21"/>
          <w:u w:val="single"/>
        </w:rPr>
        <w:t xml:space="preserve">    </w:t>
      </w:r>
      <w:r>
        <w:rPr>
          <w:rFonts w:hint="eastAsia" w:ascii="宋体" w:hAnsi="宋体" w:eastAsia="宋体" w:cs="Times New Roman"/>
          <w:szCs w:val="21"/>
        </w:rPr>
        <w:t>份，联合体成员和采购人各执一份。</w:t>
      </w:r>
    </w:p>
    <w:p w14:paraId="381CB96F">
      <w:pPr>
        <w:adjustRightInd w:val="0"/>
        <w:snapToGrid w:val="0"/>
        <w:spacing w:line="360" w:lineRule="auto"/>
        <w:rPr>
          <w:rFonts w:hint="eastAsia" w:ascii="宋体" w:hAnsi="宋体" w:eastAsia="宋体" w:cs="Times New Roman"/>
          <w:szCs w:val="21"/>
        </w:rPr>
      </w:pPr>
    </w:p>
    <w:p w14:paraId="41029D9B">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牵头人名称（盖单位章）：</w:t>
      </w:r>
    </w:p>
    <w:p w14:paraId="1C652BB0">
      <w:pPr>
        <w:adjustRightInd w:val="0"/>
        <w:snapToGrid w:val="0"/>
        <w:spacing w:line="360" w:lineRule="auto"/>
        <w:rPr>
          <w:rFonts w:hint="eastAsia" w:ascii="宋体" w:hAnsi="宋体" w:eastAsia="宋体" w:cs="Times New Roman"/>
          <w:szCs w:val="21"/>
        </w:rPr>
      </w:pPr>
      <w:r>
        <w:rPr>
          <w:rFonts w:hint="eastAsia" w:ascii="宋体" w:hAnsi="宋体" w:eastAsia="宋体" w:cs="微软雅黑"/>
          <w:spacing w:val="-2"/>
          <w:kern w:val="0"/>
          <w:szCs w:val="21"/>
        </w:rPr>
        <w:t>法</w:t>
      </w:r>
      <w:r>
        <w:rPr>
          <w:rFonts w:hint="eastAsia" w:ascii="宋体" w:hAnsi="宋体" w:eastAsia="宋体" w:cs="微软雅黑"/>
          <w:kern w:val="0"/>
          <w:szCs w:val="21"/>
        </w:rPr>
        <w:t>定</w:t>
      </w:r>
      <w:r>
        <w:rPr>
          <w:rFonts w:hint="eastAsia" w:ascii="宋体" w:hAnsi="宋体" w:eastAsia="宋体" w:cs="微软雅黑"/>
          <w:spacing w:val="-2"/>
          <w:kern w:val="0"/>
          <w:szCs w:val="21"/>
        </w:rPr>
        <w:t>代</w:t>
      </w:r>
      <w:r>
        <w:rPr>
          <w:rFonts w:hint="eastAsia" w:ascii="宋体" w:hAnsi="宋体" w:eastAsia="宋体" w:cs="微软雅黑"/>
          <w:kern w:val="0"/>
          <w:szCs w:val="21"/>
        </w:rPr>
        <w:t>表</w:t>
      </w:r>
      <w:r>
        <w:rPr>
          <w:rFonts w:hint="eastAsia" w:ascii="宋体" w:hAnsi="宋体" w:eastAsia="宋体" w:cs="微软雅黑"/>
          <w:spacing w:val="-2"/>
          <w:kern w:val="0"/>
          <w:szCs w:val="21"/>
        </w:rPr>
        <w:t>人</w:t>
      </w:r>
      <w:r>
        <w:rPr>
          <w:rFonts w:hint="eastAsia" w:ascii="宋体" w:hAnsi="宋体" w:eastAsia="宋体" w:cs="微软雅黑"/>
          <w:kern w:val="0"/>
          <w:szCs w:val="21"/>
        </w:rPr>
        <w:t>（</w:t>
      </w:r>
      <w:r>
        <w:rPr>
          <w:rFonts w:hint="eastAsia" w:ascii="宋体" w:hAnsi="宋体" w:eastAsia="宋体" w:cs="微软雅黑"/>
          <w:spacing w:val="-2"/>
          <w:kern w:val="0"/>
          <w:szCs w:val="21"/>
        </w:rPr>
        <w:t>单</w:t>
      </w:r>
      <w:r>
        <w:rPr>
          <w:rFonts w:hint="eastAsia" w:ascii="宋体" w:hAnsi="宋体" w:eastAsia="宋体" w:cs="微软雅黑"/>
          <w:kern w:val="0"/>
          <w:szCs w:val="21"/>
        </w:rPr>
        <w:t>位</w:t>
      </w:r>
      <w:r>
        <w:rPr>
          <w:rFonts w:hint="eastAsia" w:ascii="宋体" w:hAnsi="宋体" w:eastAsia="宋体" w:cs="微软雅黑"/>
          <w:spacing w:val="-2"/>
          <w:kern w:val="0"/>
          <w:szCs w:val="21"/>
        </w:rPr>
        <w:t>负</w:t>
      </w:r>
      <w:r>
        <w:rPr>
          <w:rFonts w:hint="eastAsia" w:ascii="宋体" w:hAnsi="宋体" w:eastAsia="宋体" w:cs="微软雅黑"/>
          <w:kern w:val="0"/>
          <w:szCs w:val="21"/>
        </w:rPr>
        <w:t>责人</w:t>
      </w:r>
      <w:r>
        <w:rPr>
          <w:rFonts w:hint="eastAsia" w:ascii="宋体" w:hAnsi="宋体" w:eastAsia="宋体" w:cs="微软雅黑"/>
          <w:spacing w:val="-2"/>
          <w:kern w:val="0"/>
          <w:szCs w:val="21"/>
        </w:rPr>
        <w:t>）</w:t>
      </w:r>
      <w:r>
        <w:rPr>
          <w:rFonts w:hint="eastAsia" w:ascii="宋体" w:hAnsi="宋体" w:eastAsia="宋体" w:cs="Times New Roman"/>
          <w:szCs w:val="21"/>
        </w:rPr>
        <w:t>或其委托代理人（签字或印章）：</w:t>
      </w:r>
      <w:r>
        <w:rPr>
          <w:rFonts w:hint="eastAsia" w:ascii="宋体" w:hAnsi="宋体" w:eastAsia="宋体" w:cs="Times New Roman"/>
          <w:szCs w:val="21"/>
          <w:u w:val="single"/>
        </w:rPr>
        <w:t xml:space="preserve">                          </w:t>
      </w:r>
    </w:p>
    <w:p w14:paraId="7049B362">
      <w:pPr>
        <w:adjustRightInd w:val="0"/>
        <w:snapToGrid w:val="0"/>
        <w:spacing w:line="360" w:lineRule="auto"/>
        <w:rPr>
          <w:rFonts w:hint="eastAsia" w:ascii="宋体" w:hAnsi="宋体" w:eastAsia="宋体" w:cs="Times New Roman"/>
          <w:szCs w:val="21"/>
        </w:rPr>
      </w:pPr>
    </w:p>
    <w:p w14:paraId="5673BC7F">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成员1名称（盖单位章）：</w:t>
      </w:r>
    </w:p>
    <w:p w14:paraId="311344C1">
      <w:pPr>
        <w:adjustRightInd w:val="0"/>
        <w:snapToGrid w:val="0"/>
        <w:spacing w:line="360" w:lineRule="auto"/>
        <w:rPr>
          <w:rFonts w:hint="eastAsia" w:ascii="宋体" w:hAnsi="宋体" w:eastAsia="宋体" w:cs="Times New Roman"/>
          <w:szCs w:val="21"/>
        </w:rPr>
      </w:pPr>
      <w:r>
        <w:rPr>
          <w:rFonts w:hint="eastAsia" w:ascii="宋体" w:hAnsi="宋体" w:eastAsia="宋体" w:cs="微软雅黑"/>
          <w:spacing w:val="-2"/>
          <w:kern w:val="0"/>
          <w:szCs w:val="21"/>
        </w:rPr>
        <w:t>法</w:t>
      </w:r>
      <w:r>
        <w:rPr>
          <w:rFonts w:hint="eastAsia" w:ascii="宋体" w:hAnsi="宋体" w:eastAsia="宋体" w:cs="微软雅黑"/>
          <w:kern w:val="0"/>
          <w:szCs w:val="21"/>
        </w:rPr>
        <w:t>定</w:t>
      </w:r>
      <w:r>
        <w:rPr>
          <w:rFonts w:hint="eastAsia" w:ascii="宋体" w:hAnsi="宋体" w:eastAsia="宋体" w:cs="微软雅黑"/>
          <w:spacing w:val="-2"/>
          <w:kern w:val="0"/>
          <w:szCs w:val="21"/>
        </w:rPr>
        <w:t>代</w:t>
      </w:r>
      <w:r>
        <w:rPr>
          <w:rFonts w:hint="eastAsia" w:ascii="宋体" w:hAnsi="宋体" w:eastAsia="宋体" w:cs="微软雅黑"/>
          <w:kern w:val="0"/>
          <w:szCs w:val="21"/>
        </w:rPr>
        <w:t>表</w:t>
      </w:r>
      <w:r>
        <w:rPr>
          <w:rFonts w:hint="eastAsia" w:ascii="宋体" w:hAnsi="宋体" w:eastAsia="宋体" w:cs="微软雅黑"/>
          <w:spacing w:val="-2"/>
          <w:kern w:val="0"/>
          <w:szCs w:val="21"/>
        </w:rPr>
        <w:t>人</w:t>
      </w:r>
      <w:r>
        <w:rPr>
          <w:rFonts w:hint="eastAsia" w:ascii="宋体" w:hAnsi="宋体" w:eastAsia="宋体" w:cs="微软雅黑"/>
          <w:kern w:val="0"/>
          <w:szCs w:val="21"/>
        </w:rPr>
        <w:t>（</w:t>
      </w:r>
      <w:r>
        <w:rPr>
          <w:rFonts w:hint="eastAsia" w:ascii="宋体" w:hAnsi="宋体" w:eastAsia="宋体" w:cs="微软雅黑"/>
          <w:spacing w:val="-2"/>
          <w:kern w:val="0"/>
          <w:szCs w:val="21"/>
        </w:rPr>
        <w:t>单</w:t>
      </w:r>
      <w:r>
        <w:rPr>
          <w:rFonts w:hint="eastAsia" w:ascii="宋体" w:hAnsi="宋体" w:eastAsia="宋体" w:cs="微软雅黑"/>
          <w:kern w:val="0"/>
          <w:szCs w:val="21"/>
        </w:rPr>
        <w:t>位</w:t>
      </w:r>
      <w:r>
        <w:rPr>
          <w:rFonts w:hint="eastAsia" w:ascii="宋体" w:hAnsi="宋体" w:eastAsia="宋体" w:cs="微软雅黑"/>
          <w:spacing w:val="-2"/>
          <w:kern w:val="0"/>
          <w:szCs w:val="21"/>
        </w:rPr>
        <w:t>负</w:t>
      </w:r>
      <w:r>
        <w:rPr>
          <w:rFonts w:hint="eastAsia" w:ascii="宋体" w:hAnsi="宋体" w:eastAsia="宋体" w:cs="微软雅黑"/>
          <w:kern w:val="0"/>
          <w:szCs w:val="21"/>
        </w:rPr>
        <w:t>责人</w:t>
      </w:r>
      <w:r>
        <w:rPr>
          <w:rFonts w:hint="eastAsia" w:ascii="宋体" w:hAnsi="宋体" w:eastAsia="宋体" w:cs="微软雅黑"/>
          <w:spacing w:val="-2"/>
          <w:kern w:val="0"/>
          <w:szCs w:val="21"/>
        </w:rPr>
        <w:t>）</w:t>
      </w:r>
      <w:r>
        <w:rPr>
          <w:rFonts w:hint="eastAsia" w:ascii="宋体" w:hAnsi="宋体" w:eastAsia="宋体" w:cs="Times New Roman"/>
          <w:szCs w:val="21"/>
        </w:rPr>
        <w:t>或其委托代理人（签字或印章）：</w:t>
      </w:r>
      <w:r>
        <w:rPr>
          <w:rFonts w:hint="eastAsia" w:ascii="宋体" w:hAnsi="宋体" w:eastAsia="宋体" w:cs="Times New Roman"/>
          <w:szCs w:val="21"/>
          <w:u w:val="single"/>
        </w:rPr>
        <w:t xml:space="preserve">                          </w:t>
      </w:r>
    </w:p>
    <w:p w14:paraId="4B417A2D">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成员2名称（盖单位章）：</w:t>
      </w:r>
    </w:p>
    <w:p w14:paraId="29F8F6ED">
      <w:pPr>
        <w:adjustRightInd w:val="0"/>
        <w:snapToGrid w:val="0"/>
        <w:spacing w:line="360" w:lineRule="auto"/>
        <w:rPr>
          <w:rFonts w:hint="eastAsia" w:ascii="宋体" w:hAnsi="宋体" w:eastAsia="宋体" w:cs="Times New Roman"/>
          <w:szCs w:val="21"/>
        </w:rPr>
      </w:pPr>
      <w:r>
        <w:rPr>
          <w:rFonts w:hint="eastAsia" w:ascii="宋体" w:hAnsi="宋体" w:eastAsia="宋体" w:cs="微软雅黑"/>
          <w:spacing w:val="-2"/>
          <w:kern w:val="0"/>
          <w:szCs w:val="21"/>
        </w:rPr>
        <w:t>法</w:t>
      </w:r>
      <w:r>
        <w:rPr>
          <w:rFonts w:hint="eastAsia" w:ascii="宋体" w:hAnsi="宋体" w:eastAsia="宋体" w:cs="微软雅黑"/>
          <w:kern w:val="0"/>
          <w:szCs w:val="21"/>
        </w:rPr>
        <w:t>定</w:t>
      </w:r>
      <w:r>
        <w:rPr>
          <w:rFonts w:hint="eastAsia" w:ascii="宋体" w:hAnsi="宋体" w:eastAsia="宋体" w:cs="微软雅黑"/>
          <w:spacing w:val="-2"/>
          <w:kern w:val="0"/>
          <w:szCs w:val="21"/>
        </w:rPr>
        <w:t>代</w:t>
      </w:r>
      <w:r>
        <w:rPr>
          <w:rFonts w:hint="eastAsia" w:ascii="宋体" w:hAnsi="宋体" w:eastAsia="宋体" w:cs="微软雅黑"/>
          <w:kern w:val="0"/>
          <w:szCs w:val="21"/>
        </w:rPr>
        <w:t>表</w:t>
      </w:r>
      <w:r>
        <w:rPr>
          <w:rFonts w:hint="eastAsia" w:ascii="宋体" w:hAnsi="宋体" w:eastAsia="宋体" w:cs="微软雅黑"/>
          <w:spacing w:val="-2"/>
          <w:kern w:val="0"/>
          <w:szCs w:val="21"/>
        </w:rPr>
        <w:t>人</w:t>
      </w:r>
      <w:r>
        <w:rPr>
          <w:rFonts w:hint="eastAsia" w:ascii="宋体" w:hAnsi="宋体" w:eastAsia="宋体" w:cs="微软雅黑"/>
          <w:kern w:val="0"/>
          <w:szCs w:val="21"/>
        </w:rPr>
        <w:t>（</w:t>
      </w:r>
      <w:r>
        <w:rPr>
          <w:rFonts w:hint="eastAsia" w:ascii="宋体" w:hAnsi="宋体" w:eastAsia="宋体" w:cs="微软雅黑"/>
          <w:spacing w:val="-2"/>
          <w:kern w:val="0"/>
          <w:szCs w:val="21"/>
        </w:rPr>
        <w:t>单</w:t>
      </w:r>
      <w:r>
        <w:rPr>
          <w:rFonts w:hint="eastAsia" w:ascii="宋体" w:hAnsi="宋体" w:eastAsia="宋体" w:cs="微软雅黑"/>
          <w:kern w:val="0"/>
          <w:szCs w:val="21"/>
        </w:rPr>
        <w:t>位</w:t>
      </w:r>
      <w:r>
        <w:rPr>
          <w:rFonts w:hint="eastAsia" w:ascii="宋体" w:hAnsi="宋体" w:eastAsia="宋体" w:cs="微软雅黑"/>
          <w:spacing w:val="-2"/>
          <w:kern w:val="0"/>
          <w:szCs w:val="21"/>
        </w:rPr>
        <w:t>负</w:t>
      </w:r>
      <w:r>
        <w:rPr>
          <w:rFonts w:hint="eastAsia" w:ascii="宋体" w:hAnsi="宋体" w:eastAsia="宋体" w:cs="微软雅黑"/>
          <w:kern w:val="0"/>
          <w:szCs w:val="21"/>
        </w:rPr>
        <w:t>责人</w:t>
      </w:r>
      <w:r>
        <w:rPr>
          <w:rFonts w:hint="eastAsia" w:ascii="宋体" w:hAnsi="宋体" w:eastAsia="宋体" w:cs="微软雅黑"/>
          <w:spacing w:val="-2"/>
          <w:kern w:val="0"/>
          <w:szCs w:val="21"/>
        </w:rPr>
        <w:t>）</w:t>
      </w:r>
      <w:r>
        <w:rPr>
          <w:rFonts w:hint="eastAsia" w:ascii="宋体" w:hAnsi="宋体" w:eastAsia="宋体" w:cs="Times New Roman"/>
          <w:szCs w:val="21"/>
        </w:rPr>
        <w:t>或其委托代理人（签字或印章）：</w:t>
      </w:r>
      <w:r>
        <w:rPr>
          <w:rFonts w:hint="eastAsia" w:ascii="宋体" w:hAnsi="宋体" w:eastAsia="宋体" w:cs="Times New Roman"/>
          <w:szCs w:val="21"/>
          <w:u w:val="single"/>
        </w:rPr>
        <w:t xml:space="preserve">                          </w:t>
      </w:r>
    </w:p>
    <w:p w14:paraId="4F25AF20">
      <w:pPr>
        <w:adjustRightInd w:val="0"/>
        <w:snapToGrid w:val="0"/>
        <w:spacing w:line="360" w:lineRule="auto"/>
        <w:rPr>
          <w:rFonts w:hint="eastAsia" w:ascii="宋体" w:hAnsi="宋体" w:eastAsia="宋体" w:cs="Times New Roman"/>
          <w:szCs w:val="21"/>
        </w:rPr>
      </w:pPr>
      <w:r>
        <w:rPr>
          <w:rFonts w:ascii="宋体" w:hAnsi="宋体" w:eastAsia="宋体" w:cs="Times New Roman"/>
          <w:szCs w:val="21"/>
        </w:rPr>
        <w:t>…</w:t>
      </w:r>
    </w:p>
    <w:p w14:paraId="73BC2DF9">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日期：</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日  </w:t>
      </w:r>
    </w:p>
    <w:p w14:paraId="153C9103">
      <w:pPr>
        <w:widowControl/>
        <w:adjustRightInd w:val="0"/>
        <w:snapToGrid w:val="0"/>
        <w:spacing w:line="360" w:lineRule="auto"/>
        <w:ind w:firstLine="420" w:firstLineChars="200"/>
        <w:jc w:val="left"/>
        <w:rPr>
          <w:rFonts w:hint="eastAsia" w:ascii="宋体" w:hAnsi="宋体" w:eastAsia="宋体" w:cs="Times New Roman"/>
          <w:szCs w:val="21"/>
        </w:rPr>
      </w:pPr>
      <w:r>
        <w:rPr>
          <w:rFonts w:hint="eastAsia" w:ascii="宋体" w:hAnsi="宋体" w:eastAsia="宋体" w:cs="Times New Roman"/>
          <w:bCs/>
          <w:szCs w:val="21"/>
        </w:rPr>
        <w:t>注：1.</w:t>
      </w:r>
      <w:r>
        <w:rPr>
          <w:rFonts w:hint="eastAsia" w:ascii="宋体" w:hAnsi="宋体" w:eastAsia="宋体" w:cs="Times New Roman"/>
          <w:szCs w:val="21"/>
        </w:rPr>
        <w:t>本协议书由委托代理人签字的，应附授权委托书。</w:t>
      </w:r>
    </w:p>
    <w:p w14:paraId="4F93D4C4">
      <w:pPr>
        <w:widowControl/>
        <w:adjustRightInd w:val="0"/>
        <w:snapToGrid w:val="0"/>
        <w:spacing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2.投标人在提交投标文件的截止时间前修改“开标一览表”中的投标报价，影响本协议书第五条的，应同时修改本协议书第五条。否则，评审时价格评审优惠不予以考虑。</w:t>
      </w:r>
    </w:p>
    <w:p w14:paraId="75563147">
      <w:pPr>
        <w:widowControl w:val="0"/>
        <w:ind w:firstLine="422" w:firstLineChars="200"/>
        <w:jc w:val="both"/>
        <w:rPr>
          <w:rFonts w:ascii="Calibri" w:hAnsi="Calibri" w:eastAsia="宋体" w:cs="Times New Roman"/>
          <w:b/>
          <w:kern w:val="2"/>
          <w:sz w:val="21"/>
          <w:szCs w:val="22"/>
          <w:lang w:val="en-US" w:eastAsia="zh-CN" w:bidi="ar-SA"/>
        </w:rPr>
      </w:pPr>
    </w:p>
    <w:p w14:paraId="06AD54FA">
      <w:pPr>
        <w:keepNext/>
        <w:keepLines/>
        <w:widowControl w:val="0"/>
        <w:spacing w:before="156" w:after="290" w:line="376" w:lineRule="auto"/>
        <w:jc w:val="both"/>
        <w:outlineLvl w:val="3"/>
        <w:rPr>
          <w:rFonts w:hint="eastAsia" w:ascii="黑体" w:hAnsi="宋体" w:eastAsia="黑体" w:cs="宋体"/>
          <w:b w:val="0"/>
          <w:bCs/>
          <w:kern w:val="0"/>
          <w:sz w:val="21"/>
          <w:szCs w:val="21"/>
          <w:lang w:val="en-US" w:eastAsia="zh-CN" w:bidi="ar-SA"/>
        </w:rPr>
      </w:pPr>
      <w:bookmarkStart w:id="161" w:name="_Toc3133"/>
      <w:r>
        <w:rPr>
          <w:rFonts w:hint="eastAsia" w:ascii="黑体" w:hAnsi="仿宋" w:eastAsia="黑体" w:cs="宋体"/>
          <w:b w:val="0"/>
          <w:bCs/>
          <w:kern w:val="2"/>
          <w:sz w:val="21"/>
          <w:szCs w:val="21"/>
          <w:lang w:val="en-US" w:eastAsia="zh-CN" w:bidi="ar-SA"/>
        </w:rPr>
        <w:t>附件4-5 分包承诺</w:t>
      </w:r>
      <w:bookmarkEnd w:id="161"/>
    </w:p>
    <w:p w14:paraId="42A1A8C0">
      <w:pPr>
        <w:spacing w:line="360" w:lineRule="auto"/>
        <w:ind w:firstLine="420" w:firstLineChars="200"/>
        <w:rPr>
          <w:rFonts w:ascii="Times New Roman" w:hAnsi="Times New Roman" w:eastAsia="宋体" w:cs="Times New Roman"/>
        </w:rPr>
      </w:pPr>
      <w:r>
        <w:rPr>
          <w:rFonts w:hint="eastAsia" w:ascii="Times New Roman" w:hAnsi="Times New Roman" w:eastAsia="宋体" w:cs="Times New Roman"/>
        </w:rPr>
        <w:t>注：采购项目或者采购包属于“预留采购份额”，且要求合同分包的，投标人应当按照招标文件第一章第三条第2款规定提供《分包承诺》，格式自拟。</w:t>
      </w:r>
      <w:bookmarkEnd w:id="142"/>
    </w:p>
    <w:bookmarkEnd w:id="143"/>
    <w:p w14:paraId="4ED3B4DA">
      <w:pPr>
        <w:rPr>
          <w:rFonts w:ascii="Times New Roman" w:hAnsi="Times New Roman" w:eastAsia="宋体" w:cs="Times New Roman"/>
        </w:rPr>
      </w:pPr>
    </w:p>
    <w:p w14:paraId="2ACDE6A3">
      <w:pPr>
        <w:widowControl/>
        <w:jc w:val="left"/>
        <w:rPr>
          <w:rFonts w:hint="eastAsia" w:ascii="宋体" w:hAnsi="宋体" w:eastAsia="宋体" w:cs="宋体"/>
          <w:sz w:val="32"/>
          <w:szCs w:val="32"/>
        </w:rPr>
      </w:pPr>
      <w:r>
        <w:rPr>
          <w:rFonts w:ascii="宋体" w:hAnsi="宋体" w:eastAsia="宋体" w:cs="宋体"/>
          <w:sz w:val="32"/>
          <w:szCs w:val="32"/>
        </w:rPr>
        <w:br w:type="page"/>
      </w:r>
    </w:p>
    <w:p w14:paraId="3815D415">
      <w:pPr>
        <w:adjustRightInd w:val="0"/>
        <w:snapToGrid w:val="0"/>
        <w:spacing w:line="360" w:lineRule="auto"/>
        <w:jc w:val="center"/>
        <w:rPr>
          <w:rFonts w:hint="eastAsia" w:ascii="宋体" w:hAnsi="宋体" w:eastAsia="宋体" w:cs="宋体"/>
          <w:sz w:val="32"/>
          <w:szCs w:val="32"/>
        </w:rPr>
      </w:pPr>
      <w:bookmarkStart w:id="162" w:name="OLE_LINK168"/>
    </w:p>
    <w:p w14:paraId="3875ED71">
      <w:pPr>
        <w:adjustRightInd w:val="0"/>
        <w:snapToGrid w:val="0"/>
        <w:spacing w:line="360" w:lineRule="auto"/>
        <w:jc w:val="center"/>
        <w:rPr>
          <w:rFonts w:hint="eastAsia" w:ascii="宋体" w:hAnsi="宋体" w:eastAsia="宋体" w:cs="宋体"/>
          <w:sz w:val="32"/>
          <w:szCs w:val="32"/>
        </w:rPr>
      </w:pPr>
    </w:p>
    <w:p w14:paraId="1F22CA4A">
      <w:pPr>
        <w:widowControl w:val="0"/>
        <w:adjustRightInd w:val="0"/>
        <w:snapToGrid w:val="0"/>
        <w:spacing w:line="360" w:lineRule="auto"/>
        <w:jc w:val="center"/>
        <w:rPr>
          <w:rFonts w:hint="eastAsia" w:ascii="宋体" w:hAnsi="宋体" w:eastAsia="宋体" w:cs="宋体"/>
          <w:bCs/>
          <w:kern w:val="2"/>
          <w:sz w:val="72"/>
          <w:szCs w:val="72"/>
          <w:lang w:val="en-US" w:eastAsia="zh-CN" w:bidi="ar-SA"/>
        </w:rPr>
      </w:pPr>
      <w:r>
        <w:rPr>
          <w:rFonts w:hint="eastAsia" w:ascii="宋体" w:hAnsi="宋体" w:eastAsia="宋体" w:cs="宋体"/>
          <w:bCs/>
          <w:kern w:val="2"/>
          <w:sz w:val="72"/>
          <w:szCs w:val="72"/>
          <w:lang w:val="en-US" w:eastAsia="zh-CN" w:bidi="ar-SA"/>
        </w:rPr>
        <w:t>政府采购</w:t>
      </w:r>
    </w:p>
    <w:p w14:paraId="14B7423E">
      <w:pPr>
        <w:adjustRightInd w:val="0"/>
        <w:snapToGrid w:val="0"/>
        <w:spacing w:line="360" w:lineRule="auto"/>
        <w:jc w:val="center"/>
        <w:rPr>
          <w:rFonts w:hint="eastAsia" w:ascii="宋体" w:hAnsi="宋体" w:eastAsia="宋体" w:cs="宋体"/>
          <w:b/>
          <w:bCs/>
          <w:sz w:val="84"/>
          <w:szCs w:val="84"/>
        </w:rPr>
      </w:pPr>
      <w:r>
        <w:rPr>
          <w:rFonts w:hint="eastAsia" w:ascii="宋体" w:hAnsi="宋体" w:eastAsia="宋体" w:cs="宋体"/>
          <w:b/>
          <w:bCs/>
          <w:sz w:val="84"/>
          <w:szCs w:val="84"/>
        </w:rPr>
        <w:t>投 标 文 件</w:t>
      </w:r>
    </w:p>
    <w:p w14:paraId="5574F154">
      <w:pPr>
        <w:keepNext/>
        <w:keepLines/>
        <w:widowControl w:val="0"/>
        <w:adjustRightInd w:val="0"/>
        <w:snapToGrid w:val="0"/>
        <w:spacing w:line="360" w:lineRule="auto"/>
        <w:jc w:val="center"/>
        <w:outlineLvl w:val="1"/>
        <w:rPr>
          <w:rFonts w:hint="eastAsia" w:ascii="宋体" w:hAnsi="宋体" w:eastAsia="宋体" w:cs="宋体"/>
          <w:b/>
          <w:bCs/>
          <w:kern w:val="2"/>
          <w:sz w:val="44"/>
          <w:szCs w:val="44"/>
          <w:lang w:val="en-US" w:eastAsia="zh-CN" w:bidi="ar-SA"/>
        </w:rPr>
      </w:pPr>
      <w:bookmarkStart w:id="163" w:name="_Toc6890"/>
      <w:r>
        <w:rPr>
          <w:rFonts w:hint="eastAsia" w:ascii="宋体" w:hAnsi="宋体" w:eastAsia="宋体" w:cs="宋体"/>
          <w:b/>
          <w:bCs/>
          <w:kern w:val="2"/>
          <w:sz w:val="44"/>
          <w:szCs w:val="44"/>
          <w:lang w:val="en-US" w:eastAsia="zh-CN" w:bidi="ar-SA"/>
        </w:rPr>
        <w:t>第二部分 商务文件</w:t>
      </w:r>
      <w:bookmarkEnd w:id="163"/>
    </w:p>
    <w:p w14:paraId="025B1530">
      <w:pPr>
        <w:adjustRightInd w:val="0"/>
        <w:snapToGrid w:val="0"/>
        <w:spacing w:line="360" w:lineRule="auto"/>
        <w:rPr>
          <w:rFonts w:hint="eastAsia" w:ascii="宋体" w:hAnsi="宋体" w:eastAsia="宋体" w:cs="宋体"/>
          <w:sz w:val="32"/>
          <w:szCs w:val="32"/>
        </w:rPr>
      </w:pPr>
    </w:p>
    <w:p w14:paraId="7B48749A">
      <w:pPr>
        <w:widowControl w:val="0"/>
        <w:adjustRightInd w:val="0"/>
        <w:snapToGrid w:val="0"/>
        <w:spacing w:line="360" w:lineRule="auto"/>
        <w:ind w:firstLine="1988" w:firstLineChars="660"/>
        <w:jc w:val="both"/>
        <w:rPr>
          <w:rFonts w:hint="eastAsia" w:ascii="宋体" w:hAnsi="宋体" w:eastAsia="宋体" w:cs="宋体"/>
          <w:b/>
          <w:bCs/>
          <w:kern w:val="2"/>
          <w:sz w:val="30"/>
          <w:szCs w:val="30"/>
          <w:lang w:val="en-US" w:eastAsia="zh-CN" w:bidi="ar-SA"/>
        </w:rPr>
      </w:pPr>
    </w:p>
    <w:p w14:paraId="25AE318F">
      <w:pPr>
        <w:widowControl w:val="0"/>
        <w:adjustRightInd w:val="0"/>
        <w:snapToGrid w:val="0"/>
        <w:spacing w:line="360" w:lineRule="auto"/>
        <w:ind w:firstLine="1988" w:firstLineChars="660"/>
        <w:jc w:val="both"/>
        <w:rPr>
          <w:rFonts w:hint="eastAsia" w:ascii="宋体" w:hAnsi="宋体" w:eastAsia="宋体" w:cs="宋体"/>
          <w:b/>
          <w:bCs/>
          <w:kern w:val="2"/>
          <w:sz w:val="30"/>
          <w:szCs w:val="30"/>
          <w:u w:val="single"/>
          <w:lang w:val="en-US" w:eastAsia="zh-CN" w:bidi="ar-SA"/>
        </w:rPr>
      </w:pPr>
      <w:r>
        <w:rPr>
          <w:rFonts w:hint="eastAsia" w:ascii="宋体" w:hAnsi="宋体" w:eastAsia="宋体" w:cs="宋体"/>
          <w:b/>
          <w:bCs/>
          <w:kern w:val="2"/>
          <w:sz w:val="30"/>
          <w:szCs w:val="30"/>
          <w:lang w:val="en-US" w:eastAsia="zh-CN" w:bidi="ar-SA"/>
        </w:rPr>
        <w:t>采购项目名称：</w:t>
      </w:r>
      <w:r>
        <w:rPr>
          <w:rFonts w:hint="eastAsia" w:ascii="宋体" w:hAnsi="宋体" w:eastAsia="宋体" w:cs="宋体"/>
          <w:b/>
          <w:bCs/>
          <w:kern w:val="2"/>
          <w:sz w:val="30"/>
          <w:szCs w:val="30"/>
          <w:u w:val="single"/>
          <w:lang w:val="en-US" w:eastAsia="zh-CN" w:bidi="ar-SA"/>
        </w:rPr>
        <w:t xml:space="preserve">                       </w:t>
      </w:r>
    </w:p>
    <w:p w14:paraId="26AFFDDD">
      <w:pPr>
        <w:widowControl w:val="0"/>
        <w:adjustRightInd w:val="0"/>
        <w:snapToGrid w:val="0"/>
        <w:spacing w:line="360" w:lineRule="auto"/>
        <w:ind w:firstLine="1988" w:firstLineChars="660"/>
        <w:jc w:val="both"/>
        <w:rPr>
          <w:rFonts w:hint="eastAsia" w:ascii="宋体" w:hAnsi="宋体" w:eastAsia="宋体" w:cs="宋体"/>
          <w:b/>
          <w:bCs/>
          <w:kern w:val="2"/>
          <w:sz w:val="30"/>
          <w:szCs w:val="30"/>
          <w:u w:val="single"/>
          <w:lang w:val="en-US" w:eastAsia="zh-CN" w:bidi="ar-SA"/>
        </w:rPr>
      </w:pPr>
      <w:r>
        <w:rPr>
          <w:rFonts w:hint="eastAsia" w:ascii="宋体" w:hAnsi="宋体" w:eastAsia="宋体" w:cs="宋体"/>
          <w:b/>
          <w:bCs/>
          <w:kern w:val="2"/>
          <w:sz w:val="30"/>
          <w:szCs w:val="30"/>
          <w:lang w:val="en-US" w:eastAsia="zh-CN" w:bidi="ar-SA"/>
        </w:rPr>
        <w:t>政府采购编号：</w:t>
      </w:r>
      <w:r>
        <w:rPr>
          <w:rFonts w:hint="eastAsia" w:ascii="宋体" w:hAnsi="宋体" w:eastAsia="宋体" w:cs="宋体"/>
          <w:b/>
          <w:bCs/>
          <w:kern w:val="2"/>
          <w:sz w:val="30"/>
          <w:szCs w:val="30"/>
          <w:u w:val="single"/>
          <w:lang w:val="en-US" w:eastAsia="zh-CN" w:bidi="ar-SA"/>
        </w:rPr>
        <w:t xml:space="preserve">                       </w:t>
      </w:r>
    </w:p>
    <w:p w14:paraId="48AAC2A1">
      <w:pPr>
        <w:widowControl w:val="0"/>
        <w:adjustRightInd w:val="0"/>
        <w:snapToGrid w:val="0"/>
        <w:spacing w:line="360" w:lineRule="auto"/>
        <w:ind w:firstLine="1988" w:firstLineChars="660"/>
        <w:jc w:val="both"/>
        <w:rPr>
          <w:rFonts w:hint="eastAsia" w:ascii="宋体" w:hAnsi="宋体" w:eastAsia="宋体" w:cs="宋体"/>
          <w:b/>
          <w:bCs/>
          <w:kern w:val="2"/>
          <w:sz w:val="30"/>
          <w:szCs w:val="30"/>
          <w:u w:val="single"/>
          <w:lang w:val="en-US" w:eastAsia="zh-CN" w:bidi="ar-SA"/>
        </w:rPr>
      </w:pPr>
      <w:r>
        <w:rPr>
          <w:rFonts w:hint="eastAsia" w:ascii="宋体" w:hAnsi="宋体" w:eastAsia="宋体" w:cs="宋体"/>
          <w:b/>
          <w:bCs/>
          <w:kern w:val="2"/>
          <w:sz w:val="30"/>
          <w:szCs w:val="30"/>
          <w:lang w:val="en-US" w:eastAsia="zh-CN" w:bidi="ar-SA"/>
        </w:rPr>
        <w:t>采购代理编号：</w:t>
      </w:r>
      <w:r>
        <w:rPr>
          <w:rFonts w:hint="eastAsia" w:ascii="宋体" w:hAnsi="宋体" w:eastAsia="宋体" w:cs="宋体"/>
          <w:b/>
          <w:bCs/>
          <w:kern w:val="2"/>
          <w:sz w:val="30"/>
          <w:szCs w:val="30"/>
          <w:u w:val="single"/>
          <w:lang w:val="en-US" w:eastAsia="zh-CN" w:bidi="ar-SA"/>
        </w:rPr>
        <w:t xml:space="preserve">                       </w:t>
      </w:r>
    </w:p>
    <w:p w14:paraId="59F96EEE">
      <w:pPr>
        <w:adjustRightInd w:val="0"/>
        <w:snapToGrid w:val="0"/>
        <w:spacing w:line="360" w:lineRule="auto"/>
        <w:rPr>
          <w:rFonts w:hint="eastAsia" w:ascii="宋体" w:hAnsi="宋体" w:eastAsia="宋体" w:cs="宋体"/>
          <w:sz w:val="30"/>
          <w:szCs w:val="30"/>
        </w:rPr>
      </w:pPr>
    </w:p>
    <w:p w14:paraId="51219580">
      <w:pPr>
        <w:adjustRightInd w:val="0"/>
        <w:snapToGrid w:val="0"/>
        <w:spacing w:line="360" w:lineRule="auto"/>
        <w:rPr>
          <w:rFonts w:hint="eastAsia" w:ascii="宋体" w:hAnsi="宋体" w:eastAsia="宋体" w:cs="宋体"/>
          <w:sz w:val="30"/>
          <w:szCs w:val="30"/>
        </w:rPr>
      </w:pPr>
    </w:p>
    <w:p w14:paraId="10711EB4">
      <w:pPr>
        <w:adjustRightInd w:val="0"/>
        <w:snapToGrid w:val="0"/>
        <w:spacing w:line="360" w:lineRule="auto"/>
        <w:rPr>
          <w:rFonts w:hint="eastAsia" w:ascii="宋体" w:hAnsi="宋体" w:eastAsia="宋体" w:cs="宋体"/>
          <w:sz w:val="30"/>
          <w:szCs w:val="30"/>
        </w:rPr>
      </w:pPr>
    </w:p>
    <w:p w14:paraId="5EB392A4">
      <w:pPr>
        <w:adjustRightInd w:val="0"/>
        <w:snapToGrid w:val="0"/>
        <w:spacing w:line="360" w:lineRule="auto"/>
        <w:rPr>
          <w:rFonts w:hint="eastAsia" w:ascii="宋体" w:hAnsi="宋体" w:eastAsia="宋体" w:cs="宋体"/>
          <w:sz w:val="30"/>
          <w:szCs w:val="30"/>
        </w:rPr>
      </w:pPr>
    </w:p>
    <w:p w14:paraId="2A0D80B6">
      <w:pPr>
        <w:adjustRightInd w:val="0"/>
        <w:snapToGrid w:val="0"/>
        <w:spacing w:line="360" w:lineRule="auto"/>
        <w:ind w:left="1273" w:leftChars="606" w:firstLine="2"/>
        <w:rPr>
          <w:rFonts w:hint="eastAsia" w:ascii="宋体" w:hAnsi="宋体" w:eastAsia="宋体" w:cs="宋体"/>
          <w:sz w:val="32"/>
          <w:szCs w:val="32"/>
          <w:u w:val="single"/>
        </w:rPr>
      </w:pPr>
      <w:r>
        <w:rPr>
          <w:rFonts w:hint="eastAsia" w:ascii="宋体" w:hAnsi="宋体" w:eastAsia="宋体" w:cs="宋体"/>
          <w:sz w:val="32"/>
          <w:szCs w:val="32"/>
        </w:rPr>
        <w:t>投标人</w:t>
      </w:r>
      <w:r>
        <w:rPr>
          <w:rFonts w:hint="eastAsia" w:ascii="宋体" w:hAnsi="宋体" w:eastAsia="宋体" w:cs="宋体"/>
          <w:sz w:val="32"/>
          <w:szCs w:val="32"/>
          <w:u w:val="single"/>
        </w:rPr>
        <w:t xml:space="preserve">                         </w:t>
      </w:r>
    </w:p>
    <w:p w14:paraId="630F8581">
      <w:pPr>
        <w:adjustRightInd w:val="0"/>
        <w:snapToGrid w:val="0"/>
        <w:spacing w:line="360" w:lineRule="auto"/>
        <w:jc w:val="center"/>
        <w:rPr>
          <w:rFonts w:hint="eastAsia" w:ascii="宋体" w:hAnsi="宋体" w:eastAsia="宋体" w:cs="宋体"/>
          <w:sz w:val="32"/>
          <w:szCs w:val="32"/>
        </w:rPr>
      </w:pPr>
      <w:r>
        <w:rPr>
          <w:rFonts w:hint="eastAsia" w:ascii="宋体" w:hAnsi="宋体" w:eastAsia="宋体" w:cs="宋体"/>
          <w:sz w:val="32"/>
          <w:szCs w:val="32"/>
        </w:rPr>
        <w:t>年  月  日</w:t>
      </w:r>
    </w:p>
    <w:bookmarkEnd w:id="162"/>
    <w:p w14:paraId="65819953">
      <w:pPr>
        <w:widowControl/>
        <w:jc w:val="left"/>
        <w:rPr>
          <w:rFonts w:hint="eastAsia" w:ascii="宋体" w:hAnsi="宋体" w:eastAsia="宋体" w:cs="宋体"/>
          <w:b/>
          <w:bCs/>
          <w:sz w:val="28"/>
          <w:szCs w:val="28"/>
        </w:rPr>
      </w:pPr>
      <w:r>
        <w:rPr>
          <w:rFonts w:hint="eastAsia" w:ascii="宋体" w:hAnsi="宋体" w:eastAsia="宋体" w:cs="宋体"/>
          <w:u w:val="single"/>
        </w:rPr>
        <w:br w:type="page"/>
      </w:r>
    </w:p>
    <w:p w14:paraId="37E401D5">
      <w:pPr>
        <w:adjustRightInd w:val="0"/>
        <w:snapToGrid w:val="0"/>
        <w:spacing w:line="360" w:lineRule="auto"/>
        <w:jc w:val="center"/>
        <w:outlineLvl w:val="2"/>
        <w:rPr>
          <w:rFonts w:hint="eastAsia" w:ascii="宋体" w:hAnsi="宋体" w:eastAsia="黑体" w:cs="宋体"/>
          <w:b/>
          <w:bCs/>
          <w:sz w:val="28"/>
          <w:szCs w:val="28"/>
        </w:rPr>
      </w:pPr>
      <w:bookmarkStart w:id="164" w:name="_Toc32186"/>
      <w:bookmarkStart w:id="165" w:name="_Toc31629"/>
      <w:bookmarkStart w:id="166" w:name="OLE_LINK215"/>
      <w:r>
        <w:rPr>
          <w:rFonts w:hint="eastAsia" w:ascii="宋体" w:hAnsi="宋体" w:eastAsia="黑体" w:cs="宋体"/>
          <w:b/>
          <w:bCs/>
          <w:sz w:val="28"/>
          <w:szCs w:val="28"/>
        </w:rPr>
        <w:t>二、投标函</w:t>
      </w:r>
      <w:bookmarkEnd w:id="164"/>
      <w:bookmarkEnd w:id="165"/>
    </w:p>
    <w:p w14:paraId="41272BCF">
      <w:pPr>
        <w:spacing w:line="400" w:lineRule="exact"/>
        <w:rPr>
          <w:rFonts w:hint="eastAsia" w:ascii="宋体" w:hAnsi="宋体" w:eastAsia="宋体" w:cs="宋体"/>
        </w:rPr>
      </w:pPr>
      <w:r>
        <w:rPr>
          <w:rFonts w:hint="eastAsia" w:ascii="宋体" w:hAnsi="宋体" w:eastAsia="宋体" w:cs="宋体"/>
          <w:szCs w:val="21"/>
          <w:lang w:bidi="ar"/>
        </w:rPr>
        <w:t>致：</w:t>
      </w:r>
      <w:r>
        <w:rPr>
          <w:rFonts w:hint="eastAsia" w:ascii="宋体" w:hAnsi="宋体" w:eastAsia="宋体" w:cs="宋体"/>
          <w:szCs w:val="21"/>
          <w:u w:val="single"/>
          <w:lang w:bidi="ar"/>
        </w:rPr>
        <w:t>           </w:t>
      </w:r>
      <w:r>
        <w:rPr>
          <w:rFonts w:hint="eastAsia" w:ascii="宋体" w:hAnsi="宋体" w:eastAsia="宋体" w:cs="宋体"/>
          <w:szCs w:val="21"/>
          <w:lang w:bidi="ar"/>
        </w:rPr>
        <w:t xml:space="preserve"> (采购人或采购代理机构)： </w:t>
      </w:r>
    </w:p>
    <w:p w14:paraId="16C87F77">
      <w:pPr>
        <w:spacing w:line="400" w:lineRule="exact"/>
        <w:ind w:firstLine="435"/>
        <w:rPr>
          <w:rFonts w:hint="eastAsia" w:ascii="宋体" w:hAnsi="宋体" w:eastAsia="宋体" w:cs="宋体"/>
        </w:rPr>
      </w:pPr>
      <w:r>
        <w:rPr>
          <w:rFonts w:hint="eastAsia" w:ascii="宋体" w:hAnsi="宋体" w:eastAsia="宋体" w:cs="宋体"/>
          <w:szCs w:val="21"/>
          <w:lang w:bidi="ar"/>
        </w:rPr>
        <w:t>根据贵方为</w:t>
      </w:r>
      <w:r>
        <w:rPr>
          <w:rFonts w:hint="eastAsia" w:ascii="宋体" w:hAnsi="宋体" w:eastAsia="宋体" w:cs="宋体"/>
          <w:szCs w:val="21"/>
          <w:u w:val="single"/>
          <w:lang w:bidi="ar"/>
        </w:rPr>
        <w:t>        </w:t>
      </w:r>
      <w:r>
        <w:rPr>
          <w:rFonts w:hint="eastAsia" w:ascii="宋体" w:hAnsi="宋体" w:eastAsia="宋体" w:cs="宋体"/>
          <w:szCs w:val="21"/>
          <w:lang w:bidi="ar"/>
        </w:rPr>
        <w:t xml:space="preserve"> （项目名称）的投标邀请（政府采购编号：</w:t>
      </w:r>
      <w:r>
        <w:rPr>
          <w:rFonts w:hint="eastAsia" w:ascii="宋体" w:hAnsi="宋体" w:eastAsia="宋体" w:cs="宋体"/>
          <w:szCs w:val="21"/>
          <w:u w:val="single"/>
          <w:lang w:bidi="ar"/>
        </w:rPr>
        <w:t>    </w:t>
      </w:r>
      <w:r>
        <w:rPr>
          <w:rFonts w:hint="eastAsia" w:ascii="宋体" w:hAnsi="宋体" w:eastAsia="宋体" w:cs="宋体"/>
          <w:szCs w:val="21"/>
          <w:lang w:bidi="ar"/>
        </w:rPr>
        <w:t xml:space="preserve"> ，采购代理编号：</w:t>
      </w:r>
      <w:r>
        <w:rPr>
          <w:rFonts w:hint="eastAsia" w:ascii="宋体" w:hAnsi="宋体" w:eastAsia="宋体" w:cs="宋体"/>
          <w:szCs w:val="21"/>
          <w:u w:val="single"/>
          <w:lang w:bidi="ar"/>
        </w:rPr>
        <w:t>     </w:t>
      </w:r>
      <w:r>
        <w:rPr>
          <w:rFonts w:hint="eastAsia" w:ascii="宋体" w:hAnsi="宋体" w:eastAsia="宋体" w:cs="宋体"/>
          <w:szCs w:val="21"/>
          <w:lang w:bidi="ar"/>
        </w:rPr>
        <w:t xml:space="preserve"> ），签字代表 </w:t>
      </w:r>
      <w:r>
        <w:rPr>
          <w:rFonts w:hint="eastAsia" w:ascii="宋体" w:hAnsi="宋体" w:eastAsia="宋体" w:cs="宋体"/>
          <w:szCs w:val="21"/>
          <w:u w:val="single"/>
          <w:lang w:bidi="ar"/>
        </w:rPr>
        <w:t>     </w:t>
      </w:r>
      <w:r>
        <w:rPr>
          <w:rFonts w:hint="eastAsia" w:ascii="宋体" w:hAnsi="宋体" w:eastAsia="宋体" w:cs="宋体"/>
          <w:szCs w:val="21"/>
          <w:lang w:bidi="ar"/>
        </w:rPr>
        <w:t>（姓名、职务）经正式授权并代表投标人</w:t>
      </w:r>
      <w:r>
        <w:rPr>
          <w:rFonts w:hint="eastAsia" w:ascii="宋体" w:hAnsi="宋体" w:eastAsia="宋体" w:cs="宋体"/>
          <w:szCs w:val="21"/>
          <w:u w:val="single"/>
          <w:lang w:bidi="ar"/>
        </w:rPr>
        <w:t>      </w:t>
      </w:r>
      <w:r>
        <w:rPr>
          <w:rFonts w:hint="eastAsia" w:ascii="宋体" w:hAnsi="宋体" w:eastAsia="宋体" w:cs="宋体"/>
          <w:szCs w:val="21"/>
          <w:lang w:bidi="ar"/>
        </w:rPr>
        <w:t xml:space="preserve">（投标人名称、地址）提交下述文件电子版一份并在此声明，所递交的投标文件内容完整、真实。 </w:t>
      </w:r>
    </w:p>
    <w:p w14:paraId="24CEB4D9">
      <w:pPr>
        <w:spacing w:line="400" w:lineRule="exact"/>
        <w:ind w:firstLine="420"/>
        <w:rPr>
          <w:rFonts w:hint="eastAsia" w:ascii="宋体" w:hAnsi="宋体" w:eastAsia="宋体" w:cs="宋体"/>
        </w:rPr>
      </w:pPr>
      <w:r>
        <w:rPr>
          <w:rFonts w:hint="eastAsia" w:ascii="宋体" w:hAnsi="宋体" w:eastAsia="宋体" w:cs="宋体"/>
          <w:szCs w:val="21"/>
          <w:lang w:bidi="ar"/>
        </w:rPr>
        <w:t xml:space="preserve">在此，签字代表宣布同意如下： </w:t>
      </w:r>
    </w:p>
    <w:p w14:paraId="28FCC0A6">
      <w:pPr>
        <w:spacing w:line="400" w:lineRule="exact"/>
        <w:ind w:firstLine="420"/>
        <w:rPr>
          <w:rFonts w:hint="eastAsia" w:ascii="宋体" w:hAnsi="宋体" w:eastAsia="宋体" w:cs="宋体"/>
        </w:rPr>
      </w:pPr>
      <w:r>
        <w:rPr>
          <w:rFonts w:hint="eastAsia" w:ascii="宋体" w:hAnsi="宋体" w:eastAsia="宋体" w:cs="宋体"/>
          <w:szCs w:val="21"/>
          <w:lang w:bidi="ar"/>
        </w:rPr>
        <w:t>1、所附投标价格表中规定的应提交和交付的货物和服务投标总价为：</w:t>
      </w:r>
      <w:r>
        <w:rPr>
          <w:rFonts w:hint="eastAsia" w:ascii="宋体" w:hAnsi="宋体" w:eastAsia="宋体" w:cs="宋体"/>
          <w:szCs w:val="21"/>
          <w:u w:val="single"/>
          <w:lang w:bidi="ar"/>
        </w:rPr>
        <w:t>    </w:t>
      </w:r>
      <w:r>
        <w:rPr>
          <w:rFonts w:hint="eastAsia" w:ascii="宋体" w:hAnsi="宋体" w:eastAsia="宋体" w:cs="宋体"/>
          <w:szCs w:val="21"/>
          <w:lang w:bidi="ar"/>
        </w:rPr>
        <w:t xml:space="preserve"> (人民币大写)。 </w:t>
      </w:r>
    </w:p>
    <w:p w14:paraId="037775A7">
      <w:pPr>
        <w:spacing w:line="400" w:lineRule="exact"/>
        <w:ind w:firstLine="420"/>
        <w:rPr>
          <w:rFonts w:hint="eastAsia" w:ascii="宋体" w:hAnsi="宋体" w:eastAsia="宋体" w:cs="宋体"/>
        </w:rPr>
      </w:pPr>
      <w:r>
        <w:rPr>
          <w:rFonts w:hint="eastAsia" w:ascii="宋体" w:hAnsi="宋体" w:eastAsia="宋体" w:cs="宋体"/>
          <w:szCs w:val="21"/>
          <w:lang w:bidi="ar"/>
        </w:rPr>
        <w:t xml:space="preserve">2、投标人将按招标文件的规定履行合同责任和义务。 </w:t>
      </w:r>
    </w:p>
    <w:p w14:paraId="18E936E0">
      <w:pPr>
        <w:spacing w:line="400" w:lineRule="exact"/>
        <w:ind w:firstLine="420"/>
        <w:rPr>
          <w:rFonts w:hint="eastAsia" w:ascii="宋体" w:hAnsi="宋体" w:eastAsia="宋体" w:cs="宋体"/>
        </w:rPr>
      </w:pPr>
      <w:r>
        <w:rPr>
          <w:rFonts w:hint="eastAsia" w:ascii="宋体" w:hAnsi="宋体" w:eastAsia="宋体" w:cs="宋体"/>
          <w:szCs w:val="21"/>
          <w:lang w:bidi="ar"/>
        </w:rPr>
        <w:t xml:space="preserve">3、投标人已详细审查全部招标文件。我们完全理解并同意放弃对这方面有不明及误解的权利。 </w:t>
      </w:r>
    </w:p>
    <w:p w14:paraId="45EAF37C">
      <w:pPr>
        <w:spacing w:line="400" w:lineRule="exact"/>
        <w:ind w:firstLine="420"/>
        <w:rPr>
          <w:rFonts w:hint="eastAsia" w:ascii="宋体" w:hAnsi="宋体" w:eastAsia="宋体" w:cs="宋体"/>
        </w:rPr>
      </w:pPr>
      <w:r>
        <w:rPr>
          <w:rFonts w:hint="eastAsia" w:ascii="宋体" w:hAnsi="宋体" w:eastAsia="宋体" w:cs="宋体"/>
          <w:szCs w:val="21"/>
          <w:lang w:bidi="ar"/>
        </w:rPr>
        <w:t>4、本投标有效期为自招标文件规定的提交投标文件截止之日起</w:t>
      </w:r>
      <w:r>
        <w:rPr>
          <w:rFonts w:hint="eastAsia" w:ascii="宋体" w:hAnsi="宋体" w:eastAsia="宋体" w:cs="宋体"/>
          <w:szCs w:val="21"/>
          <w:u w:val="single"/>
          <w:lang w:bidi="ar"/>
        </w:rPr>
        <w:t>    </w:t>
      </w:r>
      <w:r>
        <w:rPr>
          <w:rFonts w:hint="eastAsia" w:ascii="宋体" w:hAnsi="宋体" w:eastAsia="宋体" w:cs="宋体"/>
          <w:szCs w:val="21"/>
          <w:lang w:bidi="ar"/>
        </w:rPr>
        <w:t xml:space="preserve"> 个日历日。在投标有效期内我方同意遵守本投标文件中的承诺且在此期限期满之前投标文件对我方具有法律约束力。 </w:t>
      </w:r>
    </w:p>
    <w:p w14:paraId="618BBA28">
      <w:pPr>
        <w:spacing w:line="400" w:lineRule="exact"/>
        <w:ind w:firstLine="420"/>
        <w:rPr>
          <w:rFonts w:hint="eastAsia" w:ascii="宋体" w:hAnsi="宋体" w:eastAsia="宋体" w:cs="宋体"/>
        </w:rPr>
      </w:pPr>
      <w:r>
        <w:rPr>
          <w:rFonts w:hint="eastAsia" w:ascii="宋体" w:hAnsi="宋体" w:eastAsia="宋体" w:cs="宋体"/>
          <w:szCs w:val="21"/>
          <w:lang w:bidi="ar"/>
        </w:rPr>
        <w:t xml:space="preserve">5、根据第一章“投标须知”第3条规定，我方承诺： </w:t>
      </w:r>
    </w:p>
    <w:p w14:paraId="48716FC4">
      <w:pPr>
        <w:spacing w:line="400" w:lineRule="exact"/>
        <w:ind w:firstLine="420"/>
        <w:rPr>
          <w:rFonts w:hint="eastAsia" w:ascii="宋体" w:hAnsi="宋体" w:eastAsia="宋体" w:cs="宋体"/>
        </w:rPr>
      </w:pPr>
      <w:r>
        <w:rPr>
          <w:rFonts w:hint="eastAsia" w:ascii="宋体" w:hAnsi="宋体" w:eastAsia="宋体" w:cs="宋体"/>
          <w:szCs w:val="21"/>
          <w:lang w:bidi="ar"/>
        </w:rPr>
        <w:t xml:space="preserve">(1) 我们在参加本项目政府采购活动前三年内，在经营活动中没有违背法律的行为，并提供“参加政府采购活动前三年内在经营活动中没有重大违法记录的书面声明”； </w:t>
      </w:r>
    </w:p>
    <w:p w14:paraId="42D986DF">
      <w:pPr>
        <w:spacing w:line="400" w:lineRule="exact"/>
        <w:ind w:firstLine="420"/>
        <w:rPr>
          <w:rFonts w:hint="eastAsia" w:ascii="宋体" w:hAnsi="宋体" w:eastAsia="宋体" w:cs="宋体"/>
        </w:rPr>
      </w:pPr>
      <w:r>
        <w:rPr>
          <w:rFonts w:hint="eastAsia" w:ascii="宋体" w:hAnsi="宋体" w:eastAsia="宋体" w:cs="宋体"/>
          <w:szCs w:val="21"/>
          <w:lang w:bidi="ar"/>
        </w:rPr>
        <w:t xml:space="preserve">(2) 我们依照有关法律的规定，没有偷税、漏税的行为，没有逃避缴纳社会保险资金的行为； </w:t>
      </w:r>
    </w:p>
    <w:p w14:paraId="2E17FC98">
      <w:pPr>
        <w:spacing w:line="400" w:lineRule="exact"/>
        <w:ind w:firstLine="420"/>
        <w:rPr>
          <w:rFonts w:hint="eastAsia" w:ascii="宋体" w:hAnsi="宋体" w:eastAsia="宋体" w:cs="宋体"/>
        </w:rPr>
      </w:pPr>
      <w:r>
        <w:rPr>
          <w:rFonts w:hint="eastAsia" w:ascii="宋体" w:hAnsi="宋体" w:eastAsia="宋体" w:cs="宋体"/>
          <w:szCs w:val="21"/>
          <w:lang w:bidi="ar"/>
        </w:rPr>
        <w:t xml:space="preserve">(3) 与采购人和采购代理机构无任何的隶属关系或者其他利害关系。 </w:t>
      </w:r>
    </w:p>
    <w:p w14:paraId="6942160D">
      <w:pPr>
        <w:spacing w:line="400" w:lineRule="exact"/>
        <w:ind w:firstLine="420"/>
        <w:rPr>
          <w:rFonts w:hint="eastAsia" w:ascii="宋体" w:hAnsi="宋体" w:eastAsia="宋体" w:cs="宋体"/>
        </w:rPr>
      </w:pPr>
      <w:r>
        <w:rPr>
          <w:rFonts w:hint="eastAsia" w:ascii="宋体" w:hAnsi="宋体" w:eastAsia="宋体" w:cs="宋体"/>
          <w:szCs w:val="21"/>
          <w:lang w:bidi="ar"/>
        </w:rPr>
        <w:t xml:space="preserve">6、同意提供贵方可能要求的与其投标有关的一切数据或资料。 </w:t>
      </w:r>
    </w:p>
    <w:p w14:paraId="2754F1D3">
      <w:pPr>
        <w:spacing w:line="400" w:lineRule="exact"/>
        <w:ind w:firstLine="420"/>
        <w:rPr>
          <w:rFonts w:hint="eastAsia" w:ascii="宋体" w:hAnsi="宋体" w:eastAsia="宋体" w:cs="宋体"/>
        </w:rPr>
      </w:pPr>
      <w:r>
        <w:rPr>
          <w:rFonts w:hint="eastAsia" w:ascii="宋体" w:hAnsi="宋体" w:eastAsia="宋体" w:cs="宋体"/>
          <w:szCs w:val="21"/>
          <w:lang w:bidi="ar"/>
        </w:rPr>
        <w:t xml:space="preserve">7、废标后，在收到贵方的通知后，我方本投标函及所有投标文件中声明、授权、承诺、盖章签字等，对于贵方采用竞争性谈判采购仍然有效。我方遵守贵方招标文件关于特殊情形采用竞争性谈判采购的有关规定，并无异议。 </w:t>
      </w:r>
    </w:p>
    <w:p w14:paraId="00CE0439">
      <w:pPr>
        <w:spacing w:line="400" w:lineRule="exact"/>
        <w:ind w:firstLine="420"/>
        <w:rPr>
          <w:rFonts w:hint="eastAsia" w:ascii="宋体" w:hAnsi="宋体" w:eastAsia="宋体" w:cs="宋体"/>
        </w:rPr>
      </w:pPr>
      <w:r>
        <w:rPr>
          <w:rFonts w:hint="eastAsia" w:ascii="宋体" w:hAnsi="宋体" w:eastAsia="宋体" w:cs="宋体"/>
          <w:szCs w:val="21"/>
          <w:lang w:bidi="ar"/>
        </w:rPr>
        <w:t xml:space="preserve">8、与本投标有关的一切正式往来信函请寄： </w:t>
      </w:r>
    </w:p>
    <w:p w14:paraId="7A84A6A4">
      <w:pPr>
        <w:spacing w:line="400" w:lineRule="exact"/>
        <w:rPr>
          <w:rFonts w:hint="eastAsia" w:ascii="宋体" w:hAnsi="宋体" w:eastAsia="宋体" w:cs="宋体"/>
          <w:szCs w:val="21"/>
          <w:lang w:bidi="ar"/>
        </w:rPr>
      </w:pPr>
    </w:p>
    <w:p w14:paraId="4DF9DAAA">
      <w:pPr>
        <w:spacing w:line="400" w:lineRule="exact"/>
        <w:rPr>
          <w:rFonts w:hint="eastAsia" w:ascii="宋体" w:hAnsi="宋体" w:eastAsia="宋体" w:cs="宋体"/>
        </w:rPr>
      </w:pPr>
      <w:r>
        <w:rPr>
          <w:rFonts w:hint="eastAsia" w:ascii="宋体" w:hAnsi="宋体" w:eastAsia="宋体" w:cs="宋体"/>
          <w:szCs w:val="21"/>
          <w:lang w:bidi="ar"/>
        </w:rPr>
        <w:t>地址：</w:t>
      </w:r>
      <w:r>
        <w:rPr>
          <w:rFonts w:hint="eastAsia" w:ascii="宋体" w:hAnsi="宋体" w:eastAsia="宋体" w:cs="宋体"/>
          <w:szCs w:val="21"/>
          <w:u w:val="single"/>
          <w:lang w:bidi="ar"/>
        </w:rPr>
        <w:t>            </w:t>
      </w:r>
      <w:r>
        <w:rPr>
          <w:rFonts w:hint="eastAsia" w:ascii="宋体" w:hAnsi="宋体" w:eastAsia="宋体" w:cs="宋体"/>
          <w:szCs w:val="21"/>
          <w:lang w:bidi="ar"/>
        </w:rPr>
        <w:t xml:space="preserve">  邮编：</w:t>
      </w:r>
      <w:r>
        <w:rPr>
          <w:rFonts w:hint="eastAsia" w:ascii="宋体" w:hAnsi="宋体" w:eastAsia="宋体" w:cs="宋体"/>
          <w:szCs w:val="21"/>
          <w:u w:val="single"/>
          <w:lang w:bidi="ar"/>
        </w:rPr>
        <w:t>       </w:t>
      </w:r>
      <w:r>
        <w:rPr>
          <w:rFonts w:hint="eastAsia" w:ascii="宋体" w:hAnsi="宋体" w:eastAsia="宋体" w:cs="宋体"/>
          <w:szCs w:val="21"/>
          <w:lang w:bidi="ar"/>
        </w:rPr>
        <w:t xml:space="preserve">   </w:t>
      </w:r>
    </w:p>
    <w:p w14:paraId="05467F28">
      <w:pPr>
        <w:widowControl/>
        <w:jc w:val="left"/>
        <w:rPr>
          <w:rFonts w:hint="eastAsia" w:ascii="宋体" w:hAnsi="宋体" w:eastAsia="宋体" w:cs="宋体"/>
          <w:szCs w:val="21"/>
          <w:lang w:bidi="ar"/>
        </w:rPr>
      </w:pPr>
    </w:p>
    <w:p w14:paraId="7C88DB5F">
      <w:pPr>
        <w:widowControl/>
        <w:jc w:val="left"/>
        <w:rPr>
          <w:rFonts w:ascii="Times New Roman" w:hAnsi="Times New Roman" w:eastAsia="宋体" w:cs="Times New Roman"/>
        </w:rPr>
      </w:pPr>
      <w:r>
        <w:rPr>
          <w:rFonts w:hint="eastAsia" w:ascii="宋体" w:hAnsi="宋体" w:eastAsia="宋体" w:cs="宋体"/>
          <w:szCs w:val="21"/>
          <w:lang w:bidi="ar"/>
        </w:rPr>
        <w:t>电话：</w:t>
      </w:r>
      <w:r>
        <w:rPr>
          <w:rFonts w:hint="eastAsia" w:ascii="宋体" w:hAnsi="宋体" w:eastAsia="宋体" w:cs="宋体"/>
          <w:szCs w:val="21"/>
          <w:u w:val="single"/>
          <w:lang w:bidi="ar"/>
        </w:rPr>
        <w:t>            </w:t>
      </w:r>
      <w:r>
        <w:rPr>
          <w:rFonts w:hint="eastAsia" w:ascii="宋体" w:hAnsi="宋体" w:eastAsia="宋体" w:cs="宋体"/>
          <w:szCs w:val="21"/>
          <w:lang w:bidi="ar"/>
        </w:rPr>
        <w:t xml:space="preserve">  传真：</w:t>
      </w:r>
      <w:r>
        <w:rPr>
          <w:rFonts w:hint="eastAsia" w:ascii="宋体" w:hAnsi="宋体" w:eastAsia="宋体" w:cs="宋体"/>
          <w:szCs w:val="21"/>
          <w:u w:val="single"/>
          <w:lang w:bidi="ar"/>
        </w:rPr>
        <w:t>        </w:t>
      </w:r>
      <w:r>
        <w:rPr>
          <w:rFonts w:hint="eastAsia" w:ascii="宋体" w:hAnsi="宋体" w:eastAsia="宋体" w:cs="宋体"/>
          <w:szCs w:val="21"/>
          <w:lang w:bidi="ar"/>
        </w:rPr>
        <w:t> </w:t>
      </w:r>
      <w:r>
        <w:rPr>
          <w:rFonts w:hint="eastAsia" w:ascii="宋体" w:hAnsi="宋体" w:eastAsia="宋体" w:cs="Times New Roman"/>
          <w:szCs w:val="21"/>
          <w:lang w:bidi="ar"/>
        </w:rPr>
        <w:t xml:space="preserve"> </w:t>
      </w:r>
    </w:p>
    <w:p w14:paraId="2954D468">
      <w:pPr>
        <w:widowControl w:val="0"/>
        <w:adjustRightInd w:val="0"/>
        <w:snapToGrid w:val="0"/>
        <w:spacing w:before="161" w:beforeLines="50" w:line="360" w:lineRule="auto"/>
        <w:jc w:val="both"/>
        <w:rPr>
          <w:rFonts w:hint="eastAsia" w:ascii="宋体" w:hAnsi="宋体" w:eastAsia="宋体" w:cs="宋体"/>
          <w:kern w:val="2"/>
          <w:sz w:val="21"/>
          <w:szCs w:val="21"/>
          <w:lang w:val="en-US" w:eastAsia="zh-CN" w:bidi="ar-SA"/>
        </w:rPr>
      </w:pPr>
    </w:p>
    <w:p w14:paraId="36656E3A">
      <w:pPr>
        <w:widowControl w:val="0"/>
        <w:adjustRightInd w:val="0"/>
        <w:snapToGrid w:val="0"/>
        <w:spacing w:before="161" w:beforeLines="50" w:line="360" w:lineRule="auto"/>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投标人名称（盖单位章）：                       </w:t>
      </w:r>
    </w:p>
    <w:p w14:paraId="6C4275BE">
      <w:pPr>
        <w:adjustRightInd w:val="0"/>
        <w:snapToGrid w:val="0"/>
        <w:spacing w:before="161" w:beforeLines="50" w:line="360" w:lineRule="auto"/>
        <w:rPr>
          <w:rFonts w:hint="eastAsia" w:ascii="宋体" w:hAnsi="宋体" w:eastAsia="宋体" w:cs="宋体"/>
          <w:szCs w:val="21"/>
          <w:u w:val="single"/>
        </w:rPr>
      </w:pPr>
      <w:r>
        <w:rPr>
          <w:rFonts w:hint="eastAsia" w:ascii="宋体" w:hAnsi="宋体" w:eastAsia="宋体" w:cs="宋体"/>
          <w:spacing w:val="-2"/>
          <w:kern w:val="0"/>
          <w:szCs w:val="21"/>
        </w:rPr>
        <w:t>法</w:t>
      </w:r>
      <w:r>
        <w:rPr>
          <w:rFonts w:hint="eastAsia" w:ascii="宋体" w:hAnsi="宋体" w:eastAsia="宋体" w:cs="宋体"/>
          <w:kern w:val="0"/>
          <w:szCs w:val="21"/>
        </w:rPr>
        <w:t>定</w:t>
      </w:r>
      <w:r>
        <w:rPr>
          <w:rFonts w:hint="eastAsia" w:ascii="宋体" w:hAnsi="宋体" w:eastAsia="宋体" w:cs="宋体"/>
          <w:spacing w:val="-2"/>
          <w:kern w:val="0"/>
          <w:szCs w:val="21"/>
        </w:rPr>
        <w:t>代</w:t>
      </w:r>
      <w:r>
        <w:rPr>
          <w:rFonts w:hint="eastAsia" w:ascii="宋体" w:hAnsi="宋体" w:eastAsia="宋体" w:cs="宋体"/>
          <w:kern w:val="0"/>
          <w:szCs w:val="21"/>
        </w:rPr>
        <w:t>表</w:t>
      </w:r>
      <w:r>
        <w:rPr>
          <w:rFonts w:hint="eastAsia" w:ascii="宋体" w:hAnsi="宋体" w:eastAsia="宋体" w:cs="宋体"/>
          <w:spacing w:val="-2"/>
          <w:kern w:val="0"/>
          <w:szCs w:val="21"/>
        </w:rPr>
        <w:t>人</w:t>
      </w:r>
      <w:r>
        <w:rPr>
          <w:rFonts w:hint="eastAsia" w:ascii="宋体" w:hAnsi="宋体" w:eastAsia="宋体" w:cs="宋体"/>
          <w:kern w:val="0"/>
          <w:szCs w:val="21"/>
        </w:rPr>
        <w:t>（</w:t>
      </w:r>
      <w:r>
        <w:rPr>
          <w:rFonts w:hint="eastAsia" w:ascii="宋体" w:hAnsi="宋体" w:eastAsia="宋体" w:cs="宋体"/>
          <w:spacing w:val="-2"/>
          <w:kern w:val="0"/>
          <w:szCs w:val="21"/>
        </w:rPr>
        <w:t>单</w:t>
      </w:r>
      <w:r>
        <w:rPr>
          <w:rFonts w:hint="eastAsia" w:ascii="宋体" w:hAnsi="宋体" w:eastAsia="宋体" w:cs="宋体"/>
          <w:kern w:val="0"/>
          <w:szCs w:val="21"/>
        </w:rPr>
        <w:t>位</w:t>
      </w:r>
      <w:r>
        <w:rPr>
          <w:rFonts w:hint="eastAsia" w:ascii="宋体" w:hAnsi="宋体" w:eastAsia="宋体" w:cs="宋体"/>
          <w:spacing w:val="-2"/>
          <w:kern w:val="0"/>
          <w:szCs w:val="21"/>
        </w:rPr>
        <w:t>负</w:t>
      </w:r>
      <w:r>
        <w:rPr>
          <w:rFonts w:hint="eastAsia" w:ascii="宋体" w:hAnsi="宋体" w:eastAsia="宋体" w:cs="宋体"/>
          <w:kern w:val="0"/>
          <w:szCs w:val="21"/>
        </w:rPr>
        <w:t>责人</w:t>
      </w:r>
      <w:r>
        <w:rPr>
          <w:rFonts w:hint="eastAsia" w:ascii="宋体" w:hAnsi="宋体" w:eastAsia="宋体" w:cs="宋体"/>
          <w:spacing w:val="-2"/>
          <w:kern w:val="0"/>
          <w:szCs w:val="21"/>
        </w:rPr>
        <w:t>）</w:t>
      </w:r>
      <w:r>
        <w:rPr>
          <w:rFonts w:hint="eastAsia" w:ascii="宋体" w:hAnsi="宋体" w:eastAsia="宋体" w:cs="宋体"/>
          <w:szCs w:val="21"/>
        </w:rPr>
        <w:t>或其授权的代理人（签字或印章）：</w:t>
      </w:r>
    </w:p>
    <w:p w14:paraId="4CABEF96">
      <w:pPr>
        <w:rPr>
          <w:rFonts w:hint="eastAsia" w:ascii="宋体" w:hAnsi="宋体" w:eastAsia="宋体" w:cs="宋体"/>
          <w:szCs w:val="21"/>
        </w:rPr>
      </w:pPr>
    </w:p>
    <w:p w14:paraId="7B13272E">
      <w:pPr>
        <w:rPr>
          <w:rFonts w:hint="eastAsia" w:ascii="宋体" w:hAnsi="宋体" w:eastAsia="宋体" w:cs="宋体"/>
          <w:szCs w:val="21"/>
        </w:rPr>
      </w:pPr>
      <w:r>
        <w:rPr>
          <w:rFonts w:hint="eastAsia" w:ascii="宋体" w:hAnsi="宋体" w:eastAsia="宋体" w:cs="宋体"/>
          <w:szCs w:val="21"/>
        </w:rPr>
        <w:t>日期：   年   月   日</w:t>
      </w:r>
    </w:p>
    <w:p w14:paraId="28D2F9D0">
      <w:pPr>
        <w:spacing w:line="400" w:lineRule="exact"/>
        <w:rPr>
          <w:rFonts w:hint="eastAsia" w:ascii="宋体" w:hAnsi="宋体" w:eastAsia="宋体" w:cs="宋体"/>
          <w:szCs w:val="21"/>
        </w:rPr>
      </w:pPr>
    </w:p>
    <w:p w14:paraId="40C65BD5">
      <w:pPr>
        <w:spacing w:line="400" w:lineRule="exact"/>
        <w:rPr>
          <w:rFonts w:hint="eastAsia" w:ascii="宋体" w:hAnsi="宋体" w:eastAsia="宋体" w:cs="宋体"/>
          <w:szCs w:val="21"/>
        </w:rPr>
      </w:pPr>
      <w:r>
        <w:rPr>
          <w:rFonts w:ascii="宋体" w:hAnsi="宋体" w:eastAsia="宋体" w:cs="宋体"/>
          <w:szCs w:val="21"/>
        </w:rPr>
        <w:t>备注：</w:t>
      </w:r>
    </w:p>
    <w:p w14:paraId="14BDC7DC">
      <w:pPr>
        <w:spacing w:line="400" w:lineRule="exact"/>
        <w:rPr>
          <w:rFonts w:hint="eastAsia" w:ascii="宋体" w:hAnsi="宋体" w:eastAsia="宋体" w:cs="Times New Roman"/>
        </w:rPr>
      </w:pPr>
      <w:r>
        <w:rPr>
          <w:rFonts w:ascii="宋体" w:hAnsi="宋体" w:eastAsia="宋体" w:cs="Times New Roman"/>
          <w:szCs w:val="21"/>
        </w:rPr>
        <w:t>1</w:t>
      </w:r>
      <w:r>
        <w:rPr>
          <w:rFonts w:ascii="宋体" w:hAnsi="宋体" w:eastAsia="宋体" w:cs="宋体"/>
          <w:szCs w:val="21"/>
        </w:rPr>
        <w:t>、除可填报项目外，对本投标函的任何修改将被视为非实质性响应投标，在评标时将其视为无效投标。</w:t>
      </w:r>
      <w:r>
        <w:rPr>
          <w:rFonts w:ascii="宋体" w:hAnsi="宋体" w:eastAsia="宋体" w:cs="Times New Roman"/>
          <w:szCs w:val="21"/>
        </w:rPr>
        <w:t xml:space="preserve"> </w:t>
      </w:r>
    </w:p>
    <w:p w14:paraId="4FA8EF5B">
      <w:pPr>
        <w:rPr>
          <w:rFonts w:ascii="Times New Roman" w:hAnsi="Times New Roman" w:eastAsia="宋体" w:cs="Times New Roman"/>
        </w:rPr>
      </w:pPr>
      <w:r>
        <w:rPr>
          <w:rFonts w:ascii="宋体" w:hAnsi="宋体" w:eastAsia="宋体" w:cs="Times New Roman"/>
          <w:szCs w:val="21"/>
        </w:rPr>
        <w:t>2</w:t>
      </w:r>
      <w:r>
        <w:rPr>
          <w:rFonts w:ascii="宋体" w:hAnsi="宋体" w:eastAsia="宋体" w:cs="宋体"/>
          <w:szCs w:val="21"/>
        </w:rPr>
        <w:t>、</w:t>
      </w:r>
      <w:r>
        <w:rPr>
          <w:rFonts w:hint="eastAsia" w:ascii="宋体" w:hAnsi="宋体" w:eastAsia="宋体" w:cs="宋体"/>
          <w:szCs w:val="21"/>
        </w:rPr>
        <w:t>投标人</w:t>
      </w:r>
      <w:r>
        <w:rPr>
          <w:rFonts w:ascii="宋体" w:hAnsi="宋体" w:eastAsia="宋体" w:cs="宋体"/>
          <w:szCs w:val="21"/>
        </w:rPr>
        <w:t>注册成立不足三年的，承诺与声明从单位成立始至参加本项目政府采购活动止</w:t>
      </w:r>
      <w:r>
        <w:rPr>
          <w:rFonts w:hint="eastAsia" w:ascii="宋体" w:hAnsi="宋体" w:eastAsia="宋体" w:cs="宋体"/>
          <w:szCs w:val="21"/>
        </w:rPr>
        <w:t>。</w:t>
      </w:r>
    </w:p>
    <w:bookmarkEnd w:id="166"/>
    <w:p w14:paraId="1EF344E3">
      <w:pPr>
        <w:rPr>
          <w:rFonts w:hint="eastAsia" w:ascii="宋体" w:hAnsi="宋体" w:eastAsia="宋体" w:cs="宋体"/>
        </w:rPr>
      </w:pPr>
      <w:r>
        <w:rPr>
          <w:rFonts w:hint="eastAsia" w:ascii="宋体" w:hAnsi="宋体" w:eastAsia="宋体" w:cs="宋体"/>
          <w:b/>
          <w:bCs/>
          <w:sz w:val="28"/>
          <w:szCs w:val="28"/>
        </w:rPr>
        <w:br w:type="page"/>
      </w:r>
    </w:p>
    <w:p w14:paraId="75A66F3C">
      <w:pPr>
        <w:adjustRightInd w:val="0"/>
        <w:snapToGrid w:val="0"/>
        <w:spacing w:line="360" w:lineRule="auto"/>
        <w:jc w:val="center"/>
        <w:outlineLvl w:val="2"/>
        <w:rPr>
          <w:rFonts w:hint="eastAsia" w:ascii="宋体" w:hAnsi="宋体" w:eastAsia="黑体" w:cs="宋体"/>
          <w:b/>
          <w:bCs/>
          <w:sz w:val="28"/>
          <w:szCs w:val="28"/>
        </w:rPr>
      </w:pPr>
      <w:bookmarkStart w:id="167" w:name="_Toc25485"/>
      <w:r>
        <w:rPr>
          <w:rFonts w:hint="eastAsia" w:ascii="宋体" w:hAnsi="宋体" w:eastAsia="黑体" w:cs="宋体"/>
          <w:b/>
          <w:bCs/>
          <w:sz w:val="28"/>
          <w:szCs w:val="28"/>
        </w:rPr>
        <w:t>三、开标一览表</w:t>
      </w:r>
      <w:bookmarkEnd w:id="167"/>
    </w:p>
    <w:p w14:paraId="0D064889">
      <w:pPr>
        <w:adjustRightInd w:val="0"/>
        <w:snapToGrid w:val="0"/>
        <w:spacing w:line="360" w:lineRule="auto"/>
        <w:ind w:left="-88" w:leftChars="-42"/>
        <w:jc w:val="center"/>
        <w:rPr>
          <w:rFonts w:hint="eastAsia" w:ascii="宋体" w:hAnsi="宋体" w:eastAsia="宋体" w:cs="宋体"/>
          <w:sz w:val="24"/>
        </w:rPr>
      </w:pPr>
    </w:p>
    <w:p w14:paraId="45196D6F">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采购代理编号：</w:t>
      </w:r>
      <w:r>
        <w:rPr>
          <w:rFonts w:hint="eastAsia" w:ascii="宋体" w:hAnsi="宋体" w:eastAsia="宋体" w:cs="宋体"/>
          <w:szCs w:val="21"/>
          <w:u w:val="single"/>
        </w:rPr>
        <w:t xml:space="preserve">            </w:t>
      </w:r>
      <w:r>
        <w:rPr>
          <w:rFonts w:hint="eastAsia" w:ascii="宋体" w:hAnsi="宋体" w:eastAsia="宋体" w:cs="宋体"/>
          <w:szCs w:val="21"/>
        </w:rPr>
        <w:t xml:space="preserve">                       项目名称：</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7B8827F8">
      <w:pPr>
        <w:adjustRightInd w:val="0"/>
        <w:snapToGrid w:val="0"/>
        <w:spacing w:line="360" w:lineRule="auto"/>
        <w:rPr>
          <w:rFonts w:hint="eastAsia" w:ascii="宋体" w:hAnsi="宋体" w:eastAsia="宋体" w:cs="宋体"/>
          <w:b/>
          <w:szCs w:val="21"/>
        </w:rPr>
      </w:pPr>
      <w:r>
        <w:rPr>
          <w:rFonts w:hint="eastAsia" w:ascii="宋体" w:hAnsi="宋体" w:eastAsia="宋体" w:cs="宋体"/>
          <w:szCs w:val="21"/>
        </w:rPr>
        <w:t>包号：</w:t>
      </w:r>
      <w:r>
        <w:rPr>
          <w:rFonts w:hint="eastAsia" w:ascii="宋体" w:hAnsi="宋体" w:eastAsia="宋体" w:cs="宋体"/>
          <w:szCs w:val="21"/>
          <w:u w:val="single"/>
        </w:rPr>
        <w:t xml:space="preserve">              </w:t>
      </w:r>
      <w:r>
        <w:rPr>
          <w:rFonts w:hint="eastAsia" w:ascii="宋体" w:hAnsi="宋体" w:eastAsia="宋体" w:cs="宋体"/>
          <w:szCs w:val="21"/>
        </w:rPr>
        <w:t xml:space="preserve">                               包名称：</w:t>
      </w:r>
      <w:r>
        <w:rPr>
          <w:rFonts w:hint="eastAsia" w:ascii="宋体" w:hAnsi="宋体" w:eastAsia="宋体" w:cs="宋体"/>
          <w:szCs w:val="21"/>
          <w:u w:val="single"/>
        </w:rPr>
        <w:t xml:space="preserve">             </w:t>
      </w:r>
    </w:p>
    <w:tbl>
      <w:tblPr>
        <w:tblStyle w:val="3"/>
        <w:tblW w:w="8789"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119"/>
      </w:tblGrid>
      <w:tr w14:paraId="35D1F8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670" w:type="dxa"/>
            <w:tcBorders>
              <w:tl2br w:val="nil"/>
              <w:tr2bl w:val="nil"/>
            </w:tcBorders>
            <w:vAlign w:val="center"/>
          </w:tcPr>
          <w:p w14:paraId="31723D78">
            <w:pPr>
              <w:adjustRightInd w:val="0"/>
              <w:snapToGrid w:val="0"/>
              <w:spacing w:line="360" w:lineRule="auto"/>
              <w:jc w:val="center"/>
              <w:rPr>
                <w:rFonts w:hint="eastAsia" w:ascii="宋体" w:hAnsi="宋体" w:eastAsia="宋体" w:cs="宋体"/>
                <w:b/>
                <w:kern w:val="0"/>
                <w:sz w:val="20"/>
                <w:szCs w:val="21"/>
              </w:rPr>
            </w:pPr>
            <w:r>
              <w:rPr>
                <w:rFonts w:hint="eastAsia" w:ascii="宋体" w:hAnsi="宋体" w:eastAsia="宋体" w:cs="宋体"/>
                <w:b/>
                <w:kern w:val="0"/>
                <w:szCs w:val="21"/>
              </w:rPr>
              <w:t>投标报价</w:t>
            </w:r>
          </w:p>
        </w:tc>
        <w:tc>
          <w:tcPr>
            <w:tcW w:w="3119" w:type="dxa"/>
            <w:tcBorders>
              <w:tl2br w:val="nil"/>
              <w:tr2bl w:val="nil"/>
            </w:tcBorders>
            <w:vAlign w:val="center"/>
          </w:tcPr>
          <w:p w14:paraId="06ACFF7C">
            <w:pPr>
              <w:adjustRightInd w:val="0"/>
              <w:snapToGrid w:val="0"/>
              <w:spacing w:line="360" w:lineRule="auto"/>
              <w:jc w:val="center"/>
              <w:rPr>
                <w:rFonts w:hint="eastAsia" w:ascii="宋体" w:hAnsi="宋体" w:eastAsia="宋体" w:cs="宋体"/>
                <w:b/>
                <w:kern w:val="0"/>
                <w:szCs w:val="21"/>
              </w:rPr>
            </w:pPr>
            <w:r>
              <w:rPr>
                <w:rFonts w:hint="eastAsia" w:ascii="宋体" w:hAnsi="宋体" w:eastAsia="宋体" w:cs="宋体"/>
                <w:b/>
                <w:kern w:val="0"/>
                <w:szCs w:val="21"/>
              </w:rPr>
              <w:t>其他内容</w:t>
            </w:r>
          </w:p>
        </w:tc>
      </w:tr>
      <w:tr w14:paraId="781A77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670" w:type="dxa"/>
            <w:tcBorders>
              <w:tl2br w:val="nil"/>
              <w:tr2bl w:val="nil"/>
            </w:tcBorders>
            <w:vAlign w:val="center"/>
          </w:tcPr>
          <w:p w14:paraId="532B0F7F">
            <w:pPr>
              <w:adjustRightInd w:val="0"/>
              <w:snapToGrid w:val="0"/>
              <w:spacing w:line="360" w:lineRule="auto"/>
              <w:jc w:val="center"/>
              <w:rPr>
                <w:rFonts w:hint="eastAsia" w:ascii="宋体" w:hAnsi="宋体" w:eastAsia="宋体" w:cs="宋体"/>
                <w:kern w:val="0"/>
                <w:sz w:val="20"/>
                <w:szCs w:val="21"/>
              </w:rPr>
            </w:pPr>
          </w:p>
        </w:tc>
        <w:tc>
          <w:tcPr>
            <w:tcW w:w="3119" w:type="dxa"/>
            <w:tcBorders>
              <w:tl2br w:val="nil"/>
              <w:tr2bl w:val="nil"/>
            </w:tcBorders>
            <w:vAlign w:val="center"/>
          </w:tcPr>
          <w:p w14:paraId="35FE4E9C">
            <w:pPr>
              <w:adjustRightInd w:val="0"/>
              <w:snapToGrid w:val="0"/>
              <w:spacing w:line="360" w:lineRule="auto"/>
              <w:jc w:val="center"/>
              <w:rPr>
                <w:rFonts w:hint="eastAsia" w:ascii="宋体" w:hAnsi="宋体" w:eastAsia="宋体" w:cs="宋体"/>
                <w:kern w:val="0"/>
                <w:szCs w:val="21"/>
              </w:rPr>
            </w:pPr>
          </w:p>
        </w:tc>
      </w:tr>
    </w:tbl>
    <w:p w14:paraId="2A66AE75">
      <w:pPr>
        <w:adjustRightInd w:val="0"/>
        <w:snapToGrid w:val="0"/>
        <w:spacing w:line="360" w:lineRule="auto"/>
        <w:rPr>
          <w:rFonts w:hint="eastAsia" w:ascii="宋体" w:hAnsi="宋体" w:eastAsia="宋体" w:cs="宋体"/>
          <w:szCs w:val="21"/>
        </w:rPr>
      </w:pPr>
      <w:r>
        <w:rPr>
          <w:rFonts w:hint="eastAsia" w:ascii="宋体" w:hAnsi="宋体" w:eastAsia="宋体" w:cs="宋体"/>
          <w:b/>
          <w:szCs w:val="21"/>
        </w:rPr>
        <w:t>备注：</w:t>
      </w:r>
      <w:r>
        <w:rPr>
          <w:rFonts w:hint="eastAsia" w:ascii="宋体" w:hAnsi="宋体" w:eastAsia="宋体" w:cs="宋体"/>
          <w:szCs w:val="21"/>
        </w:rPr>
        <w:t>（1）本表须按包填写，一个“包号”一份。</w:t>
      </w:r>
    </w:p>
    <w:p w14:paraId="403F9340">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（2）投标人提交两份及以上投标报价不同的“开标一览表”，且未书面说明哪个有效或以哪个为准的，其</w:t>
      </w:r>
      <w:r>
        <w:rPr>
          <w:rFonts w:hint="eastAsia" w:ascii="宋体" w:hAnsi="宋体" w:eastAsia="宋体" w:cs="宋体"/>
          <w:b/>
          <w:szCs w:val="21"/>
        </w:rPr>
        <w:t>投标无效</w:t>
      </w:r>
      <w:r>
        <w:rPr>
          <w:rFonts w:hint="eastAsia" w:ascii="宋体" w:hAnsi="宋体" w:eastAsia="宋体" w:cs="宋体"/>
          <w:szCs w:val="21"/>
        </w:rPr>
        <w:t>。</w:t>
      </w:r>
    </w:p>
    <w:p w14:paraId="6200C26F">
      <w:pPr>
        <w:adjustRightInd w:val="0"/>
        <w:snapToGrid w:val="0"/>
        <w:spacing w:line="360" w:lineRule="auto"/>
        <w:ind w:firstLine="420" w:firstLineChars="200"/>
        <w:rPr>
          <w:rFonts w:hint="eastAsia" w:ascii="宋体" w:hAnsi="宋体" w:eastAsia="宋体" w:cs="宋体"/>
          <w:szCs w:val="21"/>
        </w:rPr>
      </w:pPr>
    </w:p>
    <w:p w14:paraId="52300167">
      <w:pPr>
        <w:adjustRightInd w:val="0"/>
        <w:snapToGrid w:val="0"/>
        <w:spacing w:line="360" w:lineRule="auto"/>
        <w:ind w:firstLine="420" w:firstLineChars="200"/>
        <w:rPr>
          <w:rFonts w:hint="eastAsia" w:ascii="宋体" w:hAnsi="宋体" w:eastAsia="宋体" w:cs="宋体"/>
          <w:szCs w:val="21"/>
        </w:rPr>
      </w:pPr>
    </w:p>
    <w:p w14:paraId="16B2A789">
      <w:pPr>
        <w:adjustRightInd w:val="0"/>
        <w:snapToGrid w:val="0"/>
        <w:spacing w:line="360" w:lineRule="auto"/>
        <w:rPr>
          <w:rFonts w:hint="eastAsia" w:ascii="宋体" w:hAnsi="宋体" w:eastAsia="宋体" w:cs="宋体"/>
          <w:szCs w:val="21"/>
        </w:rPr>
      </w:pPr>
    </w:p>
    <w:p w14:paraId="5ED1E173">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投标人名称（盖单位章）：</w:t>
      </w:r>
    </w:p>
    <w:p w14:paraId="34C2D8D6">
      <w:pPr>
        <w:adjustRightInd w:val="0"/>
        <w:snapToGrid w:val="0"/>
        <w:spacing w:line="360" w:lineRule="auto"/>
        <w:rPr>
          <w:rFonts w:hint="eastAsia" w:ascii="宋体" w:hAnsi="宋体" w:eastAsia="宋体" w:cs="宋体"/>
          <w:szCs w:val="21"/>
        </w:rPr>
      </w:pPr>
      <w:r>
        <w:rPr>
          <w:rFonts w:hint="eastAsia" w:ascii="宋体" w:hAnsi="宋体" w:eastAsia="宋体" w:cs="宋体"/>
          <w:spacing w:val="-2"/>
          <w:kern w:val="0"/>
          <w:szCs w:val="21"/>
        </w:rPr>
        <w:t>法</w:t>
      </w:r>
      <w:r>
        <w:rPr>
          <w:rFonts w:hint="eastAsia" w:ascii="宋体" w:hAnsi="宋体" w:eastAsia="宋体" w:cs="宋体"/>
          <w:kern w:val="0"/>
          <w:szCs w:val="21"/>
        </w:rPr>
        <w:t>定</w:t>
      </w:r>
      <w:r>
        <w:rPr>
          <w:rFonts w:hint="eastAsia" w:ascii="宋体" w:hAnsi="宋体" w:eastAsia="宋体" w:cs="宋体"/>
          <w:spacing w:val="-2"/>
          <w:kern w:val="0"/>
          <w:szCs w:val="21"/>
        </w:rPr>
        <w:t>代</w:t>
      </w:r>
      <w:r>
        <w:rPr>
          <w:rFonts w:hint="eastAsia" w:ascii="宋体" w:hAnsi="宋体" w:eastAsia="宋体" w:cs="宋体"/>
          <w:kern w:val="0"/>
          <w:szCs w:val="21"/>
        </w:rPr>
        <w:t>表</w:t>
      </w:r>
      <w:r>
        <w:rPr>
          <w:rFonts w:hint="eastAsia" w:ascii="宋体" w:hAnsi="宋体" w:eastAsia="宋体" w:cs="宋体"/>
          <w:spacing w:val="-2"/>
          <w:kern w:val="0"/>
          <w:szCs w:val="21"/>
        </w:rPr>
        <w:t>人</w:t>
      </w:r>
      <w:r>
        <w:rPr>
          <w:rFonts w:hint="eastAsia" w:ascii="宋体" w:hAnsi="宋体" w:eastAsia="宋体" w:cs="宋体"/>
          <w:kern w:val="0"/>
          <w:szCs w:val="21"/>
        </w:rPr>
        <w:t>（</w:t>
      </w:r>
      <w:r>
        <w:rPr>
          <w:rFonts w:hint="eastAsia" w:ascii="宋体" w:hAnsi="宋体" w:eastAsia="宋体" w:cs="宋体"/>
          <w:spacing w:val="-2"/>
          <w:kern w:val="0"/>
          <w:szCs w:val="21"/>
        </w:rPr>
        <w:t>单</w:t>
      </w:r>
      <w:r>
        <w:rPr>
          <w:rFonts w:hint="eastAsia" w:ascii="宋体" w:hAnsi="宋体" w:eastAsia="宋体" w:cs="宋体"/>
          <w:kern w:val="0"/>
          <w:szCs w:val="21"/>
        </w:rPr>
        <w:t>位</w:t>
      </w:r>
      <w:r>
        <w:rPr>
          <w:rFonts w:hint="eastAsia" w:ascii="宋体" w:hAnsi="宋体" w:eastAsia="宋体" w:cs="宋体"/>
          <w:spacing w:val="-2"/>
          <w:kern w:val="0"/>
          <w:szCs w:val="21"/>
        </w:rPr>
        <w:t>负</w:t>
      </w:r>
      <w:r>
        <w:rPr>
          <w:rFonts w:hint="eastAsia" w:ascii="宋体" w:hAnsi="宋体" w:eastAsia="宋体" w:cs="宋体"/>
          <w:kern w:val="0"/>
          <w:szCs w:val="21"/>
        </w:rPr>
        <w:t>责人</w:t>
      </w:r>
      <w:r>
        <w:rPr>
          <w:rFonts w:hint="eastAsia" w:ascii="宋体" w:hAnsi="宋体" w:eastAsia="宋体" w:cs="宋体"/>
          <w:spacing w:val="-2"/>
          <w:kern w:val="0"/>
          <w:szCs w:val="21"/>
        </w:rPr>
        <w:t>）</w:t>
      </w:r>
      <w:r>
        <w:rPr>
          <w:rFonts w:hint="eastAsia" w:ascii="宋体" w:hAnsi="宋体" w:eastAsia="宋体" w:cs="宋体"/>
          <w:szCs w:val="21"/>
        </w:rPr>
        <w:t>或其授权的代理人（签字或印章）：</w:t>
      </w:r>
    </w:p>
    <w:p w14:paraId="32055E56">
      <w:pPr>
        <w:adjustRightInd w:val="0"/>
        <w:snapToGrid w:val="0"/>
        <w:spacing w:line="360" w:lineRule="auto"/>
        <w:rPr>
          <w:rFonts w:hint="eastAsia" w:ascii="宋体" w:hAnsi="宋体" w:eastAsia="宋体" w:cs="宋体"/>
          <w:szCs w:val="21"/>
        </w:rPr>
      </w:pPr>
      <w:r>
        <w:rPr>
          <w:rFonts w:hint="eastAsia" w:ascii="宋体" w:hAnsi="宋体" w:eastAsia="宋体" w:cs="Times New Roman"/>
          <w:szCs w:val="22"/>
          <w:lang w:bidi="ar"/>
        </w:rPr>
        <w:t>日期：   年   月   日</w:t>
      </w:r>
    </w:p>
    <w:p w14:paraId="1300E5DB">
      <w:pPr>
        <w:rPr>
          <w:rFonts w:hint="eastAsia" w:ascii="宋体" w:hAnsi="宋体" w:eastAsia="宋体" w:cs="宋体"/>
          <w:sz w:val="28"/>
          <w:szCs w:val="28"/>
        </w:rPr>
      </w:pPr>
      <w:r>
        <w:rPr>
          <w:rFonts w:hint="eastAsia" w:ascii="宋体" w:hAnsi="宋体" w:eastAsia="宋体" w:cs="宋体"/>
          <w:sz w:val="28"/>
          <w:szCs w:val="28"/>
        </w:rPr>
        <w:br w:type="page"/>
      </w:r>
    </w:p>
    <w:p w14:paraId="247EC985">
      <w:pPr>
        <w:adjustRightInd w:val="0"/>
        <w:snapToGrid w:val="0"/>
        <w:spacing w:line="360" w:lineRule="auto"/>
        <w:jc w:val="center"/>
        <w:outlineLvl w:val="2"/>
        <w:rPr>
          <w:rFonts w:hint="eastAsia" w:ascii="宋体" w:hAnsi="宋体" w:eastAsia="黑体" w:cs="宋体"/>
          <w:b/>
          <w:bCs/>
          <w:sz w:val="28"/>
          <w:szCs w:val="28"/>
        </w:rPr>
      </w:pPr>
      <w:bookmarkStart w:id="168" w:name="OLE_LINK214"/>
      <w:bookmarkStart w:id="169" w:name="OLE_LINK146"/>
      <w:bookmarkStart w:id="170" w:name="_Toc27532"/>
      <w:r>
        <w:rPr>
          <w:rFonts w:hint="eastAsia" w:ascii="宋体" w:hAnsi="宋体" w:eastAsia="黑体" w:cs="宋体"/>
          <w:b/>
          <w:bCs/>
          <w:sz w:val="28"/>
          <w:szCs w:val="28"/>
        </w:rPr>
        <w:t>四、分项价格表</w:t>
      </w:r>
    </w:p>
    <w:p w14:paraId="2F05A751">
      <w:pPr>
        <w:adjustRightInd w:val="0"/>
        <w:snapToGrid w:val="0"/>
        <w:spacing w:line="360" w:lineRule="auto"/>
        <w:ind w:left="-88" w:leftChars="-42"/>
        <w:jc w:val="center"/>
        <w:rPr>
          <w:rFonts w:hint="eastAsia" w:ascii="宋体" w:hAnsi="宋体" w:eastAsia="宋体" w:cs="宋体"/>
          <w:sz w:val="24"/>
        </w:rPr>
      </w:pPr>
    </w:p>
    <w:p w14:paraId="06F0AA84">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采购代理编号：</w:t>
      </w:r>
      <w:r>
        <w:rPr>
          <w:rFonts w:hint="eastAsia" w:ascii="宋体" w:hAnsi="宋体" w:eastAsia="宋体" w:cs="宋体"/>
          <w:szCs w:val="21"/>
          <w:u w:val="single"/>
        </w:rPr>
        <w:t xml:space="preserve">            </w:t>
      </w:r>
      <w:r>
        <w:rPr>
          <w:rFonts w:hint="eastAsia" w:ascii="宋体" w:hAnsi="宋体" w:eastAsia="宋体" w:cs="宋体"/>
          <w:szCs w:val="21"/>
        </w:rPr>
        <w:t xml:space="preserve">                       项目名称：</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59CA467E">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包号：</w:t>
      </w:r>
      <w:r>
        <w:rPr>
          <w:rFonts w:hint="eastAsia" w:ascii="宋体" w:hAnsi="宋体" w:eastAsia="宋体" w:cs="宋体"/>
          <w:szCs w:val="21"/>
          <w:u w:val="single"/>
        </w:rPr>
        <w:t xml:space="preserve">              </w:t>
      </w:r>
      <w:r>
        <w:rPr>
          <w:rFonts w:hint="eastAsia" w:ascii="宋体" w:hAnsi="宋体" w:eastAsia="宋体" w:cs="宋体"/>
          <w:szCs w:val="21"/>
        </w:rPr>
        <w:t xml:space="preserve">                               包名称：</w:t>
      </w:r>
      <w:r>
        <w:rPr>
          <w:rFonts w:hint="eastAsia" w:ascii="宋体" w:hAnsi="宋体" w:eastAsia="宋体" w:cs="宋体"/>
          <w:szCs w:val="21"/>
          <w:u w:val="single"/>
        </w:rPr>
        <w:t xml:space="preserve">             </w:t>
      </w:r>
      <w:r>
        <w:rPr>
          <w:rFonts w:hint="eastAsia" w:ascii="宋体" w:hAnsi="宋体" w:eastAsia="宋体" w:cs="宋体"/>
          <w:szCs w:val="21"/>
        </w:rPr>
        <w:t xml:space="preserve">                                         </w:t>
      </w:r>
    </w:p>
    <w:tbl>
      <w:tblPr>
        <w:tblStyle w:val="2"/>
        <w:tblpPr w:leftFromText="180" w:rightFromText="180" w:vertAnchor="text" w:horzAnchor="page" w:tblpX="1171" w:tblpY="399"/>
        <w:tblOverlap w:val="never"/>
        <w:tblW w:w="9383"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716"/>
        <w:gridCol w:w="667"/>
        <w:gridCol w:w="714"/>
        <w:gridCol w:w="1024"/>
        <w:gridCol w:w="1048"/>
        <w:gridCol w:w="707"/>
        <w:gridCol w:w="674"/>
        <w:gridCol w:w="857"/>
        <w:gridCol w:w="1096"/>
        <w:gridCol w:w="1080"/>
        <w:gridCol w:w="800"/>
      </w:tblGrid>
      <w:tr w14:paraId="693171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86" w:hRule="atLeast"/>
        </w:trPr>
        <w:tc>
          <w:tcPr>
            <w:tcW w:w="716" w:type="dxa"/>
            <w:tcBorders>
              <w:tl2br w:val="nil"/>
              <w:tr2bl w:val="nil"/>
            </w:tcBorders>
            <w:tcMar>
              <w:top w:w="0" w:type="dxa"/>
              <w:left w:w="0" w:type="dxa"/>
              <w:bottom w:w="0" w:type="dxa"/>
              <w:right w:w="0" w:type="dxa"/>
            </w:tcMar>
            <w:vAlign w:val="center"/>
          </w:tcPr>
          <w:p w14:paraId="3FFF46FC">
            <w:pPr>
              <w:spacing w:line="360" w:lineRule="auto"/>
              <w:jc w:val="center"/>
              <w:rPr>
                <w:rFonts w:ascii="Times New Roman" w:hAnsi="Times New Roman" w:eastAsia="宋体" w:cs="Times New Roman"/>
              </w:rPr>
            </w:pPr>
            <w:r>
              <w:rPr>
                <w:rFonts w:ascii="宋体" w:hAnsi="宋体" w:eastAsia="宋体" w:cs="宋体"/>
                <w:szCs w:val="21"/>
              </w:rPr>
              <w:t>序号</w:t>
            </w:r>
          </w:p>
        </w:tc>
        <w:tc>
          <w:tcPr>
            <w:tcW w:w="667" w:type="dxa"/>
            <w:tcBorders>
              <w:tl2br w:val="nil"/>
              <w:tr2bl w:val="nil"/>
            </w:tcBorders>
            <w:tcMar>
              <w:top w:w="0" w:type="dxa"/>
              <w:left w:w="0" w:type="dxa"/>
              <w:bottom w:w="0" w:type="dxa"/>
              <w:right w:w="0" w:type="dxa"/>
            </w:tcMar>
            <w:vAlign w:val="center"/>
          </w:tcPr>
          <w:p w14:paraId="3F530B03">
            <w:pPr>
              <w:spacing w:line="360" w:lineRule="auto"/>
              <w:jc w:val="center"/>
              <w:rPr>
                <w:rFonts w:ascii="Times New Roman" w:hAnsi="Times New Roman" w:eastAsia="宋体" w:cs="Times New Roman"/>
              </w:rPr>
            </w:pPr>
            <w:r>
              <w:rPr>
                <w:rFonts w:ascii="宋体" w:hAnsi="宋体" w:eastAsia="宋体" w:cs="宋体"/>
                <w:szCs w:val="21"/>
              </w:rPr>
              <w:t>货物名称</w:t>
            </w:r>
          </w:p>
        </w:tc>
        <w:tc>
          <w:tcPr>
            <w:tcW w:w="714" w:type="dxa"/>
            <w:tcBorders>
              <w:tl2br w:val="nil"/>
              <w:tr2bl w:val="nil"/>
            </w:tcBorders>
            <w:tcMar>
              <w:top w:w="0" w:type="dxa"/>
              <w:left w:w="0" w:type="dxa"/>
              <w:bottom w:w="0" w:type="dxa"/>
              <w:right w:w="0" w:type="dxa"/>
            </w:tcMar>
            <w:vAlign w:val="center"/>
          </w:tcPr>
          <w:p w14:paraId="6FDA4748">
            <w:pPr>
              <w:spacing w:line="360" w:lineRule="auto"/>
              <w:jc w:val="center"/>
              <w:rPr>
                <w:rFonts w:ascii="Times New Roman" w:hAnsi="Times New Roman" w:eastAsia="宋体" w:cs="Times New Roman"/>
              </w:rPr>
            </w:pPr>
            <w:r>
              <w:rPr>
                <w:rFonts w:ascii="宋体" w:hAnsi="宋体" w:eastAsia="宋体" w:cs="宋体"/>
                <w:szCs w:val="21"/>
              </w:rPr>
              <w:t>品牌</w:t>
            </w:r>
          </w:p>
        </w:tc>
        <w:tc>
          <w:tcPr>
            <w:tcW w:w="1024" w:type="dxa"/>
            <w:tcBorders>
              <w:tl2br w:val="nil"/>
              <w:tr2bl w:val="nil"/>
            </w:tcBorders>
            <w:tcMar>
              <w:top w:w="0" w:type="dxa"/>
              <w:left w:w="0" w:type="dxa"/>
              <w:bottom w:w="0" w:type="dxa"/>
              <w:right w:w="0" w:type="dxa"/>
            </w:tcMar>
            <w:vAlign w:val="center"/>
          </w:tcPr>
          <w:p w14:paraId="23ED8327">
            <w:pPr>
              <w:spacing w:line="360" w:lineRule="auto"/>
              <w:jc w:val="center"/>
              <w:rPr>
                <w:rFonts w:ascii="Times New Roman" w:hAnsi="Times New Roman" w:eastAsia="宋体" w:cs="Times New Roman"/>
              </w:rPr>
            </w:pPr>
            <w:r>
              <w:rPr>
                <w:rFonts w:hint="eastAsia" w:ascii="宋体" w:hAnsi="宋体" w:eastAsia="宋体" w:cs="宋体"/>
                <w:szCs w:val="21"/>
              </w:rPr>
              <w:t>参数（型号、规格及参数说明）</w:t>
            </w:r>
          </w:p>
        </w:tc>
        <w:tc>
          <w:tcPr>
            <w:tcW w:w="1048" w:type="dxa"/>
            <w:tcBorders>
              <w:tl2br w:val="nil"/>
              <w:tr2bl w:val="nil"/>
            </w:tcBorders>
            <w:vAlign w:val="center"/>
          </w:tcPr>
          <w:p w14:paraId="69CD3B85">
            <w:pPr>
              <w:spacing w:line="360" w:lineRule="auto"/>
              <w:jc w:val="center"/>
              <w:rPr>
                <w:rFonts w:hint="eastAsia" w:ascii="宋体" w:hAnsi="宋体" w:eastAsia="宋体" w:cs="宋体"/>
                <w:szCs w:val="21"/>
              </w:rPr>
            </w:pPr>
            <w:r>
              <w:rPr>
                <w:rFonts w:hint="eastAsia" w:ascii="宋体" w:hAnsi="宋体" w:eastAsia="宋体" w:cs="宋体"/>
                <w:szCs w:val="21"/>
              </w:rPr>
              <w:t>制造厂商名称</w:t>
            </w:r>
          </w:p>
        </w:tc>
        <w:tc>
          <w:tcPr>
            <w:tcW w:w="707" w:type="dxa"/>
            <w:tcBorders>
              <w:tl2br w:val="nil"/>
              <w:tr2bl w:val="nil"/>
            </w:tcBorders>
            <w:tcMar>
              <w:top w:w="0" w:type="dxa"/>
              <w:left w:w="0" w:type="dxa"/>
              <w:bottom w:w="0" w:type="dxa"/>
              <w:right w:w="0" w:type="dxa"/>
            </w:tcMar>
            <w:vAlign w:val="center"/>
          </w:tcPr>
          <w:p w14:paraId="01713AAE">
            <w:pPr>
              <w:spacing w:line="360" w:lineRule="auto"/>
              <w:jc w:val="center"/>
              <w:rPr>
                <w:rFonts w:ascii="Times New Roman" w:hAnsi="Times New Roman" w:eastAsia="宋体" w:cs="Times New Roman"/>
              </w:rPr>
            </w:pPr>
            <w:r>
              <w:rPr>
                <w:rFonts w:ascii="宋体" w:hAnsi="宋体" w:eastAsia="宋体" w:cs="宋体"/>
                <w:szCs w:val="21"/>
              </w:rPr>
              <w:t>中小企业</w:t>
            </w:r>
          </w:p>
        </w:tc>
        <w:tc>
          <w:tcPr>
            <w:tcW w:w="674" w:type="dxa"/>
            <w:tcBorders>
              <w:tl2br w:val="nil"/>
              <w:tr2bl w:val="nil"/>
            </w:tcBorders>
            <w:tcMar>
              <w:top w:w="0" w:type="dxa"/>
              <w:left w:w="0" w:type="dxa"/>
              <w:bottom w:w="0" w:type="dxa"/>
              <w:right w:w="0" w:type="dxa"/>
            </w:tcMar>
            <w:vAlign w:val="center"/>
          </w:tcPr>
          <w:p w14:paraId="6FE4E51F">
            <w:pPr>
              <w:spacing w:line="360" w:lineRule="auto"/>
              <w:jc w:val="center"/>
              <w:rPr>
                <w:rFonts w:ascii="Times New Roman" w:hAnsi="Times New Roman" w:eastAsia="宋体" w:cs="Times New Roman"/>
              </w:rPr>
            </w:pPr>
            <w:r>
              <w:rPr>
                <w:rFonts w:ascii="宋体" w:hAnsi="宋体" w:eastAsia="宋体" w:cs="宋体"/>
                <w:szCs w:val="21"/>
              </w:rPr>
              <w:t>单价</w:t>
            </w:r>
          </w:p>
        </w:tc>
        <w:tc>
          <w:tcPr>
            <w:tcW w:w="857" w:type="dxa"/>
            <w:tcBorders>
              <w:tl2br w:val="nil"/>
              <w:tr2bl w:val="nil"/>
            </w:tcBorders>
            <w:tcMar>
              <w:top w:w="0" w:type="dxa"/>
              <w:left w:w="0" w:type="dxa"/>
              <w:bottom w:w="0" w:type="dxa"/>
              <w:right w:w="0" w:type="dxa"/>
            </w:tcMar>
            <w:vAlign w:val="center"/>
          </w:tcPr>
          <w:p w14:paraId="3B36D425">
            <w:pPr>
              <w:spacing w:line="360" w:lineRule="auto"/>
              <w:jc w:val="center"/>
              <w:rPr>
                <w:rFonts w:ascii="Times New Roman" w:hAnsi="Times New Roman" w:eastAsia="宋体" w:cs="Times New Roman"/>
              </w:rPr>
            </w:pPr>
            <w:r>
              <w:rPr>
                <w:rFonts w:ascii="宋体" w:hAnsi="宋体" w:eastAsia="宋体" w:cs="宋体"/>
                <w:szCs w:val="21"/>
              </w:rPr>
              <w:t>数量</w:t>
            </w:r>
          </w:p>
        </w:tc>
        <w:tc>
          <w:tcPr>
            <w:tcW w:w="1096" w:type="dxa"/>
            <w:tcBorders>
              <w:tl2br w:val="nil"/>
              <w:tr2bl w:val="nil"/>
            </w:tcBorders>
            <w:tcMar>
              <w:top w:w="0" w:type="dxa"/>
              <w:left w:w="0" w:type="dxa"/>
              <w:bottom w:w="0" w:type="dxa"/>
              <w:right w:w="0" w:type="dxa"/>
            </w:tcMar>
            <w:vAlign w:val="center"/>
          </w:tcPr>
          <w:p w14:paraId="41755473">
            <w:pPr>
              <w:spacing w:line="360" w:lineRule="auto"/>
              <w:jc w:val="center"/>
              <w:rPr>
                <w:rFonts w:ascii="Times New Roman" w:hAnsi="Times New Roman" w:eastAsia="宋体" w:cs="Times New Roman"/>
              </w:rPr>
            </w:pPr>
            <w:r>
              <w:rPr>
                <w:rFonts w:ascii="宋体" w:hAnsi="宋体" w:eastAsia="宋体" w:cs="宋体"/>
                <w:szCs w:val="21"/>
              </w:rPr>
              <w:t>合计</w:t>
            </w:r>
            <w:r>
              <w:rPr>
                <w:rFonts w:hint="eastAsia" w:ascii="宋体" w:hAnsi="宋体" w:eastAsia="宋体" w:cs="宋体"/>
                <w:szCs w:val="21"/>
              </w:rPr>
              <w:t>(报价)</w:t>
            </w:r>
          </w:p>
        </w:tc>
        <w:tc>
          <w:tcPr>
            <w:tcW w:w="1080" w:type="dxa"/>
            <w:tcBorders>
              <w:tl2br w:val="nil"/>
              <w:tr2bl w:val="nil"/>
            </w:tcBorders>
            <w:tcMar>
              <w:top w:w="0" w:type="dxa"/>
              <w:left w:w="0" w:type="dxa"/>
              <w:bottom w:w="0" w:type="dxa"/>
              <w:right w:w="0" w:type="dxa"/>
            </w:tcMar>
            <w:vAlign w:val="center"/>
          </w:tcPr>
          <w:p w14:paraId="4D35A4C8">
            <w:pPr>
              <w:spacing w:line="360" w:lineRule="auto"/>
              <w:jc w:val="center"/>
              <w:rPr>
                <w:rFonts w:ascii="Times New Roman" w:hAnsi="Times New Roman" w:eastAsia="宋体" w:cs="Times New Roman"/>
              </w:rPr>
            </w:pPr>
            <w:r>
              <w:rPr>
                <w:rFonts w:ascii="宋体" w:hAnsi="宋体" w:eastAsia="宋体" w:cs="宋体"/>
                <w:szCs w:val="21"/>
              </w:rPr>
              <w:t>政策功能编码</w:t>
            </w:r>
          </w:p>
        </w:tc>
        <w:tc>
          <w:tcPr>
            <w:tcW w:w="800" w:type="dxa"/>
            <w:tcBorders>
              <w:tl2br w:val="nil"/>
              <w:tr2bl w:val="nil"/>
            </w:tcBorders>
            <w:tcMar>
              <w:top w:w="0" w:type="dxa"/>
              <w:left w:w="0" w:type="dxa"/>
              <w:bottom w:w="0" w:type="dxa"/>
              <w:right w:w="0" w:type="dxa"/>
            </w:tcMar>
            <w:vAlign w:val="center"/>
          </w:tcPr>
          <w:p w14:paraId="1DFF60CE">
            <w:pPr>
              <w:spacing w:line="360" w:lineRule="auto"/>
              <w:jc w:val="center"/>
              <w:rPr>
                <w:rFonts w:ascii="Times New Roman" w:hAnsi="Times New Roman" w:eastAsia="宋体" w:cs="Times New Roman"/>
              </w:rPr>
            </w:pPr>
            <w:r>
              <w:rPr>
                <w:rFonts w:ascii="宋体" w:hAnsi="宋体" w:eastAsia="宋体" w:cs="宋体"/>
                <w:szCs w:val="21"/>
              </w:rPr>
              <w:t>备注</w:t>
            </w:r>
          </w:p>
        </w:tc>
      </w:tr>
      <w:tr w14:paraId="63E741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716" w:type="dxa"/>
            <w:tcBorders>
              <w:tl2br w:val="nil"/>
              <w:tr2bl w:val="nil"/>
            </w:tcBorders>
            <w:tcMar>
              <w:top w:w="0" w:type="dxa"/>
              <w:left w:w="0" w:type="dxa"/>
              <w:bottom w:w="0" w:type="dxa"/>
              <w:right w:w="0" w:type="dxa"/>
            </w:tcMar>
            <w:vAlign w:val="center"/>
          </w:tcPr>
          <w:p w14:paraId="28E159E6">
            <w:pPr>
              <w:spacing w:line="360" w:lineRule="auto"/>
              <w:jc w:val="center"/>
              <w:rPr>
                <w:rFonts w:ascii="Times New Roman" w:hAnsi="Times New Roman" w:eastAsia="宋体" w:cs="Times New Roman"/>
              </w:rPr>
            </w:pPr>
          </w:p>
        </w:tc>
        <w:tc>
          <w:tcPr>
            <w:tcW w:w="667" w:type="dxa"/>
            <w:tcBorders>
              <w:tl2br w:val="nil"/>
              <w:tr2bl w:val="nil"/>
            </w:tcBorders>
            <w:tcMar>
              <w:top w:w="0" w:type="dxa"/>
              <w:left w:w="0" w:type="dxa"/>
              <w:bottom w:w="0" w:type="dxa"/>
              <w:right w:w="0" w:type="dxa"/>
            </w:tcMar>
            <w:vAlign w:val="center"/>
          </w:tcPr>
          <w:p w14:paraId="6842A4AB">
            <w:pPr>
              <w:spacing w:line="360" w:lineRule="auto"/>
              <w:jc w:val="center"/>
              <w:rPr>
                <w:rFonts w:ascii="Times New Roman" w:hAnsi="Times New Roman" w:eastAsia="宋体" w:cs="Times New Roman"/>
              </w:rPr>
            </w:pPr>
          </w:p>
        </w:tc>
        <w:tc>
          <w:tcPr>
            <w:tcW w:w="714" w:type="dxa"/>
            <w:tcBorders>
              <w:tl2br w:val="nil"/>
              <w:tr2bl w:val="nil"/>
            </w:tcBorders>
            <w:tcMar>
              <w:top w:w="0" w:type="dxa"/>
              <w:left w:w="0" w:type="dxa"/>
              <w:bottom w:w="0" w:type="dxa"/>
              <w:right w:w="0" w:type="dxa"/>
            </w:tcMar>
            <w:vAlign w:val="center"/>
          </w:tcPr>
          <w:p w14:paraId="5FB42556">
            <w:pPr>
              <w:spacing w:line="360" w:lineRule="auto"/>
              <w:jc w:val="center"/>
              <w:rPr>
                <w:rFonts w:ascii="Times New Roman" w:hAnsi="Times New Roman" w:eastAsia="宋体" w:cs="Times New Roman"/>
              </w:rPr>
            </w:pPr>
          </w:p>
        </w:tc>
        <w:tc>
          <w:tcPr>
            <w:tcW w:w="1024" w:type="dxa"/>
            <w:tcBorders>
              <w:tl2br w:val="nil"/>
              <w:tr2bl w:val="nil"/>
            </w:tcBorders>
            <w:tcMar>
              <w:top w:w="0" w:type="dxa"/>
              <w:left w:w="0" w:type="dxa"/>
              <w:bottom w:w="0" w:type="dxa"/>
              <w:right w:w="0" w:type="dxa"/>
            </w:tcMar>
            <w:vAlign w:val="center"/>
          </w:tcPr>
          <w:p w14:paraId="1D093FB1">
            <w:pPr>
              <w:spacing w:line="360" w:lineRule="auto"/>
              <w:jc w:val="center"/>
              <w:rPr>
                <w:rFonts w:ascii="Times New Roman" w:hAnsi="Times New Roman" w:eastAsia="宋体" w:cs="Times New Roman"/>
              </w:rPr>
            </w:pPr>
          </w:p>
        </w:tc>
        <w:tc>
          <w:tcPr>
            <w:tcW w:w="1048" w:type="dxa"/>
            <w:tcBorders>
              <w:tl2br w:val="nil"/>
              <w:tr2bl w:val="nil"/>
            </w:tcBorders>
            <w:vAlign w:val="center"/>
          </w:tcPr>
          <w:p w14:paraId="06DD2EEA">
            <w:pPr>
              <w:spacing w:line="360" w:lineRule="auto"/>
              <w:jc w:val="center"/>
              <w:rPr>
                <w:rFonts w:ascii="Times New Roman" w:hAnsi="Times New Roman" w:eastAsia="宋体" w:cs="Times New Roman"/>
                <w:szCs w:val="21"/>
              </w:rPr>
            </w:pPr>
          </w:p>
        </w:tc>
        <w:tc>
          <w:tcPr>
            <w:tcW w:w="707" w:type="dxa"/>
            <w:tcBorders>
              <w:tl2br w:val="nil"/>
              <w:tr2bl w:val="nil"/>
            </w:tcBorders>
            <w:tcMar>
              <w:top w:w="0" w:type="dxa"/>
              <w:left w:w="0" w:type="dxa"/>
              <w:bottom w:w="0" w:type="dxa"/>
              <w:right w:w="0" w:type="dxa"/>
            </w:tcMar>
            <w:vAlign w:val="center"/>
          </w:tcPr>
          <w:p w14:paraId="6E5D70AA">
            <w:pPr>
              <w:spacing w:line="360" w:lineRule="auto"/>
              <w:jc w:val="center"/>
              <w:rPr>
                <w:rFonts w:ascii="Times New Roman" w:hAnsi="Times New Roman" w:eastAsia="宋体" w:cs="Times New Roman"/>
              </w:rPr>
            </w:pPr>
          </w:p>
        </w:tc>
        <w:tc>
          <w:tcPr>
            <w:tcW w:w="674" w:type="dxa"/>
            <w:tcBorders>
              <w:tl2br w:val="nil"/>
              <w:tr2bl w:val="nil"/>
            </w:tcBorders>
            <w:tcMar>
              <w:top w:w="0" w:type="dxa"/>
              <w:left w:w="0" w:type="dxa"/>
              <w:bottom w:w="0" w:type="dxa"/>
              <w:right w:w="0" w:type="dxa"/>
            </w:tcMar>
            <w:vAlign w:val="center"/>
          </w:tcPr>
          <w:p w14:paraId="11B829AA">
            <w:pPr>
              <w:spacing w:line="360" w:lineRule="auto"/>
              <w:jc w:val="center"/>
              <w:rPr>
                <w:rFonts w:ascii="Times New Roman" w:hAnsi="Times New Roman" w:eastAsia="宋体" w:cs="Times New Roman"/>
              </w:rPr>
            </w:pPr>
          </w:p>
        </w:tc>
        <w:tc>
          <w:tcPr>
            <w:tcW w:w="857" w:type="dxa"/>
            <w:tcBorders>
              <w:tl2br w:val="nil"/>
              <w:tr2bl w:val="nil"/>
            </w:tcBorders>
            <w:tcMar>
              <w:top w:w="0" w:type="dxa"/>
              <w:left w:w="0" w:type="dxa"/>
              <w:bottom w:w="0" w:type="dxa"/>
              <w:right w:w="0" w:type="dxa"/>
            </w:tcMar>
            <w:vAlign w:val="center"/>
          </w:tcPr>
          <w:p w14:paraId="612314A1">
            <w:pPr>
              <w:spacing w:line="360" w:lineRule="auto"/>
              <w:jc w:val="center"/>
              <w:rPr>
                <w:rFonts w:ascii="Times New Roman" w:hAnsi="Times New Roman" w:eastAsia="宋体" w:cs="Times New Roman"/>
              </w:rPr>
            </w:pPr>
          </w:p>
        </w:tc>
        <w:tc>
          <w:tcPr>
            <w:tcW w:w="1096" w:type="dxa"/>
            <w:tcBorders>
              <w:tl2br w:val="nil"/>
              <w:tr2bl w:val="nil"/>
            </w:tcBorders>
            <w:tcMar>
              <w:top w:w="0" w:type="dxa"/>
              <w:left w:w="0" w:type="dxa"/>
              <w:bottom w:w="0" w:type="dxa"/>
              <w:right w:w="0" w:type="dxa"/>
            </w:tcMar>
            <w:vAlign w:val="center"/>
          </w:tcPr>
          <w:p w14:paraId="19DB5555">
            <w:pPr>
              <w:spacing w:line="360" w:lineRule="auto"/>
              <w:jc w:val="center"/>
              <w:rPr>
                <w:rFonts w:ascii="Times New Roman" w:hAnsi="Times New Roman" w:eastAsia="宋体" w:cs="Times New Roman"/>
              </w:rPr>
            </w:pPr>
          </w:p>
        </w:tc>
        <w:tc>
          <w:tcPr>
            <w:tcW w:w="1080" w:type="dxa"/>
            <w:tcBorders>
              <w:tl2br w:val="nil"/>
              <w:tr2bl w:val="nil"/>
            </w:tcBorders>
            <w:tcMar>
              <w:top w:w="0" w:type="dxa"/>
              <w:left w:w="0" w:type="dxa"/>
              <w:bottom w:w="0" w:type="dxa"/>
              <w:right w:w="0" w:type="dxa"/>
            </w:tcMar>
            <w:vAlign w:val="center"/>
          </w:tcPr>
          <w:p w14:paraId="0E65667D">
            <w:pPr>
              <w:spacing w:line="360" w:lineRule="auto"/>
              <w:jc w:val="center"/>
              <w:rPr>
                <w:rFonts w:ascii="Times New Roman" w:hAnsi="Times New Roman" w:eastAsia="宋体" w:cs="Times New Roman"/>
              </w:rPr>
            </w:pPr>
          </w:p>
        </w:tc>
        <w:tc>
          <w:tcPr>
            <w:tcW w:w="800" w:type="dxa"/>
            <w:tcBorders>
              <w:tl2br w:val="nil"/>
              <w:tr2bl w:val="nil"/>
            </w:tcBorders>
            <w:tcMar>
              <w:top w:w="0" w:type="dxa"/>
              <w:left w:w="0" w:type="dxa"/>
              <w:bottom w:w="0" w:type="dxa"/>
              <w:right w:w="0" w:type="dxa"/>
            </w:tcMar>
            <w:vAlign w:val="center"/>
          </w:tcPr>
          <w:p w14:paraId="63197D42">
            <w:pPr>
              <w:spacing w:line="360" w:lineRule="auto"/>
              <w:jc w:val="center"/>
              <w:rPr>
                <w:rFonts w:ascii="Times New Roman" w:hAnsi="Times New Roman" w:eastAsia="宋体" w:cs="Times New Roman"/>
              </w:rPr>
            </w:pPr>
          </w:p>
        </w:tc>
      </w:tr>
      <w:tr w14:paraId="4AFBCAA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716" w:type="dxa"/>
            <w:tcBorders>
              <w:tl2br w:val="nil"/>
              <w:tr2bl w:val="nil"/>
            </w:tcBorders>
            <w:tcMar>
              <w:top w:w="0" w:type="dxa"/>
              <w:left w:w="0" w:type="dxa"/>
              <w:bottom w:w="0" w:type="dxa"/>
              <w:right w:w="0" w:type="dxa"/>
            </w:tcMar>
            <w:vAlign w:val="center"/>
          </w:tcPr>
          <w:p w14:paraId="39C8438F">
            <w:pPr>
              <w:spacing w:line="360" w:lineRule="auto"/>
              <w:jc w:val="center"/>
              <w:rPr>
                <w:rFonts w:ascii="Times New Roman" w:hAnsi="Times New Roman" w:eastAsia="宋体" w:cs="Times New Roman"/>
              </w:rPr>
            </w:pPr>
          </w:p>
        </w:tc>
        <w:tc>
          <w:tcPr>
            <w:tcW w:w="667" w:type="dxa"/>
            <w:tcBorders>
              <w:tl2br w:val="nil"/>
              <w:tr2bl w:val="nil"/>
            </w:tcBorders>
            <w:tcMar>
              <w:top w:w="0" w:type="dxa"/>
              <w:left w:w="0" w:type="dxa"/>
              <w:bottom w:w="0" w:type="dxa"/>
              <w:right w:w="0" w:type="dxa"/>
            </w:tcMar>
            <w:vAlign w:val="center"/>
          </w:tcPr>
          <w:p w14:paraId="52D4950C">
            <w:pPr>
              <w:spacing w:line="360" w:lineRule="auto"/>
              <w:jc w:val="center"/>
              <w:rPr>
                <w:rFonts w:ascii="Times New Roman" w:hAnsi="Times New Roman" w:eastAsia="宋体" w:cs="Times New Roman"/>
              </w:rPr>
            </w:pPr>
          </w:p>
        </w:tc>
        <w:tc>
          <w:tcPr>
            <w:tcW w:w="714" w:type="dxa"/>
            <w:tcBorders>
              <w:tl2br w:val="nil"/>
              <w:tr2bl w:val="nil"/>
            </w:tcBorders>
            <w:tcMar>
              <w:top w:w="0" w:type="dxa"/>
              <w:left w:w="0" w:type="dxa"/>
              <w:bottom w:w="0" w:type="dxa"/>
              <w:right w:w="0" w:type="dxa"/>
            </w:tcMar>
            <w:vAlign w:val="center"/>
          </w:tcPr>
          <w:p w14:paraId="4066CDDE">
            <w:pPr>
              <w:spacing w:line="360" w:lineRule="auto"/>
              <w:jc w:val="center"/>
              <w:rPr>
                <w:rFonts w:ascii="Times New Roman" w:hAnsi="Times New Roman" w:eastAsia="宋体" w:cs="Times New Roman"/>
              </w:rPr>
            </w:pPr>
          </w:p>
        </w:tc>
        <w:tc>
          <w:tcPr>
            <w:tcW w:w="1024" w:type="dxa"/>
            <w:tcBorders>
              <w:tl2br w:val="nil"/>
              <w:tr2bl w:val="nil"/>
            </w:tcBorders>
            <w:tcMar>
              <w:top w:w="0" w:type="dxa"/>
              <w:left w:w="0" w:type="dxa"/>
              <w:bottom w:w="0" w:type="dxa"/>
              <w:right w:w="0" w:type="dxa"/>
            </w:tcMar>
            <w:vAlign w:val="center"/>
          </w:tcPr>
          <w:p w14:paraId="42F495B0">
            <w:pPr>
              <w:spacing w:line="360" w:lineRule="auto"/>
              <w:jc w:val="center"/>
              <w:rPr>
                <w:rFonts w:ascii="Times New Roman" w:hAnsi="Times New Roman" w:eastAsia="宋体" w:cs="Times New Roman"/>
              </w:rPr>
            </w:pPr>
          </w:p>
        </w:tc>
        <w:tc>
          <w:tcPr>
            <w:tcW w:w="1048" w:type="dxa"/>
            <w:tcBorders>
              <w:tl2br w:val="nil"/>
              <w:tr2bl w:val="nil"/>
            </w:tcBorders>
            <w:vAlign w:val="center"/>
          </w:tcPr>
          <w:p w14:paraId="3C1F6B30">
            <w:pPr>
              <w:spacing w:line="360" w:lineRule="auto"/>
              <w:jc w:val="center"/>
              <w:rPr>
                <w:rFonts w:ascii="Times New Roman" w:hAnsi="Times New Roman" w:eastAsia="宋体" w:cs="Times New Roman"/>
                <w:szCs w:val="21"/>
              </w:rPr>
            </w:pPr>
          </w:p>
        </w:tc>
        <w:tc>
          <w:tcPr>
            <w:tcW w:w="707" w:type="dxa"/>
            <w:tcBorders>
              <w:tl2br w:val="nil"/>
              <w:tr2bl w:val="nil"/>
            </w:tcBorders>
            <w:tcMar>
              <w:top w:w="0" w:type="dxa"/>
              <w:left w:w="0" w:type="dxa"/>
              <w:bottom w:w="0" w:type="dxa"/>
              <w:right w:w="0" w:type="dxa"/>
            </w:tcMar>
            <w:vAlign w:val="center"/>
          </w:tcPr>
          <w:p w14:paraId="1C5FD9A5">
            <w:pPr>
              <w:spacing w:line="360" w:lineRule="auto"/>
              <w:jc w:val="center"/>
              <w:rPr>
                <w:rFonts w:ascii="Times New Roman" w:hAnsi="Times New Roman" w:eastAsia="宋体" w:cs="Times New Roman"/>
              </w:rPr>
            </w:pPr>
          </w:p>
        </w:tc>
        <w:tc>
          <w:tcPr>
            <w:tcW w:w="674" w:type="dxa"/>
            <w:tcBorders>
              <w:tl2br w:val="nil"/>
              <w:tr2bl w:val="nil"/>
            </w:tcBorders>
            <w:tcMar>
              <w:top w:w="0" w:type="dxa"/>
              <w:left w:w="0" w:type="dxa"/>
              <w:bottom w:w="0" w:type="dxa"/>
              <w:right w:w="0" w:type="dxa"/>
            </w:tcMar>
            <w:vAlign w:val="center"/>
          </w:tcPr>
          <w:p w14:paraId="242D542D">
            <w:pPr>
              <w:spacing w:line="360" w:lineRule="auto"/>
              <w:jc w:val="center"/>
              <w:rPr>
                <w:rFonts w:ascii="Times New Roman" w:hAnsi="Times New Roman" w:eastAsia="宋体" w:cs="Times New Roman"/>
              </w:rPr>
            </w:pPr>
          </w:p>
        </w:tc>
        <w:tc>
          <w:tcPr>
            <w:tcW w:w="857" w:type="dxa"/>
            <w:tcBorders>
              <w:tl2br w:val="nil"/>
              <w:tr2bl w:val="nil"/>
            </w:tcBorders>
            <w:tcMar>
              <w:top w:w="0" w:type="dxa"/>
              <w:left w:w="0" w:type="dxa"/>
              <w:bottom w:w="0" w:type="dxa"/>
              <w:right w:w="0" w:type="dxa"/>
            </w:tcMar>
            <w:vAlign w:val="center"/>
          </w:tcPr>
          <w:p w14:paraId="7A0315E4">
            <w:pPr>
              <w:spacing w:line="360" w:lineRule="auto"/>
              <w:jc w:val="center"/>
              <w:rPr>
                <w:rFonts w:ascii="Times New Roman" w:hAnsi="Times New Roman" w:eastAsia="宋体" w:cs="Times New Roman"/>
              </w:rPr>
            </w:pPr>
          </w:p>
        </w:tc>
        <w:tc>
          <w:tcPr>
            <w:tcW w:w="1096" w:type="dxa"/>
            <w:tcBorders>
              <w:tl2br w:val="nil"/>
              <w:tr2bl w:val="nil"/>
            </w:tcBorders>
            <w:tcMar>
              <w:top w:w="0" w:type="dxa"/>
              <w:left w:w="0" w:type="dxa"/>
              <w:bottom w:w="0" w:type="dxa"/>
              <w:right w:w="0" w:type="dxa"/>
            </w:tcMar>
            <w:vAlign w:val="center"/>
          </w:tcPr>
          <w:p w14:paraId="636BB9F9">
            <w:pPr>
              <w:spacing w:line="360" w:lineRule="auto"/>
              <w:jc w:val="center"/>
              <w:rPr>
                <w:rFonts w:ascii="Times New Roman" w:hAnsi="Times New Roman" w:eastAsia="宋体" w:cs="Times New Roman"/>
              </w:rPr>
            </w:pPr>
          </w:p>
        </w:tc>
        <w:tc>
          <w:tcPr>
            <w:tcW w:w="1080" w:type="dxa"/>
            <w:tcBorders>
              <w:tl2br w:val="nil"/>
              <w:tr2bl w:val="nil"/>
            </w:tcBorders>
            <w:tcMar>
              <w:top w:w="0" w:type="dxa"/>
              <w:left w:w="0" w:type="dxa"/>
              <w:bottom w:w="0" w:type="dxa"/>
              <w:right w:w="0" w:type="dxa"/>
            </w:tcMar>
            <w:vAlign w:val="center"/>
          </w:tcPr>
          <w:p w14:paraId="36CA5FE5">
            <w:pPr>
              <w:spacing w:line="360" w:lineRule="auto"/>
              <w:jc w:val="center"/>
              <w:rPr>
                <w:rFonts w:ascii="Times New Roman" w:hAnsi="Times New Roman" w:eastAsia="宋体" w:cs="Times New Roman"/>
              </w:rPr>
            </w:pPr>
          </w:p>
        </w:tc>
        <w:tc>
          <w:tcPr>
            <w:tcW w:w="800" w:type="dxa"/>
            <w:tcBorders>
              <w:tl2br w:val="nil"/>
              <w:tr2bl w:val="nil"/>
            </w:tcBorders>
            <w:tcMar>
              <w:top w:w="0" w:type="dxa"/>
              <w:left w:w="0" w:type="dxa"/>
              <w:bottom w:w="0" w:type="dxa"/>
              <w:right w:w="0" w:type="dxa"/>
            </w:tcMar>
            <w:vAlign w:val="center"/>
          </w:tcPr>
          <w:p w14:paraId="0CCDB740">
            <w:pPr>
              <w:spacing w:line="360" w:lineRule="auto"/>
              <w:jc w:val="center"/>
              <w:rPr>
                <w:rFonts w:ascii="Times New Roman" w:hAnsi="Times New Roman" w:eastAsia="宋体" w:cs="Times New Roman"/>
              </w:rPr>
            </w:pPr>
          </w:p>
        </w:tc>
      </w:tr>
      <w:tr w14:paraId="3F7D1D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716" w:type="dxa"/>
            <w:tcBorders>
              <w:tl2br w:val="nil"/>
              <w:tr2bl w:val="nil"/>
            </w:tcBorders>
            <w:tcMar>
              <w:top w:w="0" w:type="dxa"/>
              <w:left w:w="0" w:type="dxa"/>
              <w:bottom w:w="0" w:type="dxa"/>
              <w:right w:w="0" w:type="dxa"/>
            </w:tcMar>
            <w:vAlign w:val="center"/>
          </w:tcPr>
          <w:p w14:paraId="389AF9B5">
            <w:pPr>
              <w:spacing w:line="360" w:lineRule="auto"/>
              <w:jc w:val="center"/>
              <w:rPr>
                <w:rFonts w:ascii="Times New Roman" w:hAnsi="Times New Roman" w:eastAsia="宋体" w:cs="Times New Roman"/>
              </w:rPr>
            </w:pPr>
          </w:p>
        </w:tc>
        <w:tc>
          <w:tcPr>
            <w:tcW w:w="667" w:type="dxa"/>
            <w:tcBorders>
              <w:tl2br w:val="nil"/>
              <w:tr2bl w:val="nil"/>
            </w:tcBorders>
            <w:tcMar>
              <w:top w:w="0" w:type="dxa"/>
              <w:left w:w="0" w:type="dxa"/>
              <w:bottom w:w="0" w:type="dxa"/>
              <w:right w:w="0" w:type="dxa"/>
            </w:tcMar>
            <w:vAlign w:val="center"/>
          </w:tcPr>
          <w:p w14:paraId="2C6A6AB3">
            <w:pPr>
              <w:spacing w:line="360" w:lineRule="auto"/>
              <w:jc w:val="center"/>
              <w:rPr>
                <w:rFonts w:ascii="Times New Roman" w:hAnsi="Times New Roman" w:eastAsia="宋体" w:cs="Times New Roman"/>
              </w:rPr>
            </w:pPr>
          </w:p>
        </w:tc>
        <w:tc>
          <w:tcPr>
            <w:tcW w:w="714" w:type="dxa"/>
            <w:tcBorders>
              <w:tl2br w:val="nil"/>
              <w:tr2bl w:val="nil"/>
            </w:tcBorders>
            <w:tcMar>
              <w:top w:w="0" w:type="dxa"/>
              <w:left w:w="0" w:type="dxa"/>
              <w:bottom w:w="0" w:type="dxa"/>
              <w:right w:w="0" w:type="dxa"/>
            </w:tcMar>
            <w:vAlign w:val="center"/>
          </w:tcPr>
          <w:p w14:paraId="098C159F">
            <w:pPr>
              <w:spacing w:line="360" w:lineRule="auto"/>
              <w:jc w:val="center"/>
              <w:rPr>
                <w:rFonts w:ascii="Times New Roman" w:hAnsi="Times New Roman" w:eastAsia="宋体" w:cs="Times New Roman"/>
              </w:rPr>
            </w:pPr>
          </w:p>
        </w:tc>
        <w:tc>
          <w:tcPr>
            <w:tcW w:w="1024" w:type="dxa"/>
            <w:tcBorders>
              <w:tl2br w:val="nil"/>
              <w:tr2bl w:val="nil"/>
            </w:tcBorders>
            <w:tcMar>
              <w:top w:w="0" w:type="dxa"/>
              <w:left w:w="0" w:type="dxa"/>
              <w:bottom w:w="0" w:type="dxa"/>
              <w:right w:w="0" w:type="dxa"/>
            </w:tcMar>
            <w:vAlign w:val="center"/>
          </w:tcPr>
          <w:p w14:paraId="5E2617E7">
            <w:pPr>
              <w:spacing w:line="360" w:lineRule="auto"/>
              <w:jc w:val="center"/>
              <w:rPr>
                <w:rFonts w:ascii="Times New Roman" w:hAnsi="Times New Roman" w:eastAsia="宋体" w:cs="Times New Roman"/>
              </w:rPr>
            </w:pPr>
          </w:p>
        </w:tc>
        <w:tc>
          <w:tcPr>
            <w:tcW w:w="1048" w:type="dxa"/>
            <w:tcBorders>
              <w:tl2br w:val="nil"/>
              <w:tr2bl w:val="nil"/>
            </w:tcBorders>
            <w:vAlign w:val="center"/>
          </w:tcPr>
          <w:p w14:paraId="766FDA06">
            <w:pPr>
              <w:spacing w:line="360" w:lineRule="auto"/>
              <w:jc w:val="center"/>
              <w:rPr>
                <w:rFonts w:ascii="Times New Roman" w:hAnsi="Times New Roman" w:eastAsia="宋体" w:cs="Times New Roman"/>
                <w:szCs w:val="21"/>
              </w:rPr>
            </w:pPr>
          </w:p>
        </w:tc>
        <w:tc>
          <w:tcPr>
            <w:tcW w:w="707" w:type="dxa"/>
            <w:tcBorders>
              <w:tl2br w:val="nil"/>
              <w:tr2bl w:val="nil"/>
            </w:tcBorders>
            <w:tcMar>
              <w:top w:w="0" w:type="dxa"/>
              <w:left w:w="0" w:type="dxa"/>
              <w:bottom w:w="0" w:type="dxa"/>
              <w:right w:w="0" w:type="dxa"/>
            </w:tcMar>
            <w:vAlign w:val="center"/>
          </w:tcPr>
          <w:p w14:paraId="3C0C019B">
            <w:pPr>
              <w:spacing w:line="360" w:lineRule="auto"/>
              <w:jc w:val="center"/>
              <w:rPr>
                <w:rFonts w:ascii="Times New Roman" w:hAnsi="Times New Roman" w:eastAsia="宋体" w:cs="Times New Roman"/>
              </w:rPr>
            </w:pPr>
          </w:p>
        </w:tc>
        <w:tc>
          <w:tcPr>
            <w:tcW w:w="674" w:type="dxa"/>
            <w:tcBorders>
              <w:tl2br w:val="nil"/>
              <w:tr2bl w:val="nil"/>
            </w:tcBorders>
            <w:tcMar>
              <w:top w:w="0" w:type="dxa"/>
              <w:left w:w="0" w:type="dxa"/>
              <w:bottom w:w="0" w:type="dxa"/>
              <w:right w:w="0" w:type="dxa"/>
            </w:tcMar>
            <w:vAlign w:val="center"/>
          </w:tcPr>
          <w:p w14:paraId="33A660AA">
            <w:pPr>
              <w:spacing w:line="360" w:lineRule="auto"/>
              <w:jc w:val="center"/>
              <w:rPr>
                <w:rFonts w:ascii="Times New Roman" w:hAnsi="Times New Roman" w:eastAsia="宋体" w:cs="Times New Roman"/>
              </w:rPr>
            </w:pPr>
          </w:p>
        </w:tc>
        <w:tc>
          <w:tcPr>
            <w:tcW w:w="857" w:type="dxa"/>
            <w:tcBorders>
              <w:tl2br w:val="nil"/>
              <w:tr2bl w:val="nil"/>
            </w:tcBorders>
            <w:tcMar>
              <w:top w:w="0" w:type="dxa"/>
              <w:left w:w="0" w:type="dxa"/>
              <w:bottom w:w="0" w:type="dxa"/>
              <w:right w:w="0" w:type="dxa"/>
            </w:tcMar>
            <w:vAlign w:val="center"/>
          </w:tcPr>
          <w:p w14:paraId="10D72CEE">
            <w:pPr>
              <w:spacing w:line="360" w:lineRule="auto"/>
              <w:jc w:val="center"/>
              <w:rPr>
                <w:rFonts w:ascii="Times New Roman" w:hAnsi="Times New Roman" w:eastAsia="宋体" w:cs="Times New Roman"/>
              </w:rPr>
            </w:pPr>
          </w:p>
        </w:tc>
        <w:tc>
          <w:tcPr>
            <w:tcW w:w="1096" w:type="dxa"/>
            <w:tcBorders>
              <w:tl2br w:val="nil"/>
              <w:tr2bl w:val="nil"/>
            </w:tcBorders>
            <w:tcMar>
              <w:top w:w="0" w:type="dxa"/>
              <w:left w:w="0" w:type="dxa"/>
              <w:bottom w:w="0" w:type="dxa"/>
              <w:right w:w="0" w:type="dxa"/>
            </w:tcMar>
            <w:vAlign w:val="center"/>
          </w:tcPr>
          <w:p w14:paraId="29E371C4">
            <w:pPr>
              <w:spacing w:line="360" w:lineRule="auto"/>
              <w:jc w:val="center"/>
              <w:rPr>
                <w:rFonts w:ascii="Times New Roman" w:hAnsi="Times New Roman" w:eastAsia="宋体" w:cs="Times New Roman"/>
              </w:rPr>
            </w:pPr>
          </w:p>
        </w:tc>
        <w:tc>
          <w:tcPr>
            <w:tcW w:w="1080" w:type="dxa"/>
            <w:tcBorders>
              <w:tl2br w:val="nil"/>
              <w:tr2bl w:val="nil"/>
            </w:tcBorders>
            <w:tcMar>
              <w:top w:w="0" w:type="dxa"/>
              <w:left w:w="0" w:type="dxa"/>
              <w:bottom w:w="0" w:type="dxa"/>
              <w:right w:w="0" w:type="dxa"/>
            </w:tcMar>
            <w:vAlign w:val="center"/>
          </w:tcPr>
          <w:p w14:paraId="159034BD">
            <w:pPr>
              <w:spacing w:line="360" w:lineRule="auto"/>
              <w:jc w:val="center"/>
              <w:rPr>
                <w:rFonts w:ascii="Times New Roman" w:hAnsi="Times New Roman" w:eastAsia="宋体" w:cs="Times New Roman"/>
              </w:rPr>
            </w:pPr>
          </w:p>
        </w:tc>
        <w:tc>
          <w:tcPr>
            <w:tcW w:w="800" w:type="dxa"/>
            <w:tcBorders>
              <w:tl2br w:val="nil"/>
              <w:tr2bl w:val="nil"/>
            </w:tcBorders>
            <w:tcMar>
              <w:top w:w="0" w:type="dxa"/>
              <w:left w:w="0" w:type="dxa"/>
              <w:bottom w:w="0" w:type="dxa"/>
              <w:right w:w="0" w:type="dxa"/>
            </w:tcMar>
            <w:vAlign w:val="center"/>
          </w:tcPr>
          <w:p w14:paraId="5843E38B">
            <w:pPr>
              <w:spacing w:line="360" w:lineRule="auto"/>
              <w:jc w:val="center"/>
              <w:rPr>
                <w:rFonts w:ascii="Times New Roman" w:hAnsi="Times New Roman" w:eastAsia="宋体" w:cs="Times New Roman"/>
              </w:rPr>
            </w:pPr>
          </w:p>
        </w:tc>
      </w:tr>
      <w:tr w14:paraId="6DCA6A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67" w:hRule="atLeast"/>
        </w:trPr>
        <w:tc>
          <w:tcPr>
            <w:tcW w:w="716" w:type="dxa"/>
            <w:tcBorders>
              <w:tl2br w:val="nil"/>
              <w:tr2bl w:val="nil"/>
            </w:tcBorders>
            <w:tcMar>
              <w:top w:w="0" w:type="dxa"/>
              <w:left w:w="0" w:type="dxa"/>
              <w:bottom w:w="0" w:type="dxa"/>
              <w:right w:w="0" w:type="dxa"/>
            </w:tcMar>
            <w:vAlign w:val="center"/>
          </w:tcPr>
          <w:p w14:paraId="3DEBD2FA">
            <w:pPr>
              <w:spacing w:line="360" w:lineRule="auto"/>
              <w:jc w:val="center"/>
              <w:rPr>
                <w:rFonts w:ascii="Times New Roman" w:hAnsi="Times New Roman" w:eastAsia="宋体" w:cs="Times New Roman"/>
              </w:rPr>
            </w:pPr>
          </w:p>
        </w:tc>
        <w:tc>
          <w:tcPr>
            <w:tcW w:w="667" w:type="dxa"/>
            <w:tcBorders>
              <w:tl2br w:val="nil"/>
              <w:tr2bl w:val="nil"/>
            </w:tcBorders>
            <w:tcMar>
              <w:top w:w="0" w:type="dxa"/>
              <w:left w:w="0" w:type="dxa"/>
              <w:bottom w:w="0" w:type="dxa"/>
              <w:right w:w="0" w:type="dxa"/>
            </w:tcMar>
            <w:vAlign w:val="center"/>
          </w:tcPr>
          <w:p w14:paraId="1B099471">
            <w:pPr>
              <w:spacing w:line="360" w:lineRule="auto"/>
              <w:jc w:val="center"/>
              <w:rPr>
                <w:rFonts w:ascii="Times New Roman" w:hAnsi="Times New Roman" w:eastAsia="宋体" w:cs="Times New Roman"/>
              </w:rPr>
            </w:pPr>
            <w:r>
              <w:rPr>
                <w:rFonts w:ascii="宋体" w:hAnsi="宋体" w:eastAsia="宋体" w:cs="宋体"/>
                <w:szCs w:val="21"/>
              </w:rPr>
              <w:t>包合计</w:t>
            </w:r>
          </w:p>
        </w:tc>
        <w:tc>
          <w:tcPr>
            <w:tcW w:w="714" w:type="dxa"/>
            <w:tcBorders>
              <w:tl2br w:val="nil"/>
              <w:tr2bl w:val="nil"/>
            </w:tcBorders>
            <w:tcMar>
              <w:top w:w="0" w:type="dxa"/>
              <w:left w:w="0" w:type="dxa"/>
              <w:bottom w:w="0" w:type="dxa"/>
              <w:right w:w="0" w:type="dxa"/>
            </w:tcMar>
            <w:vAlign w:val="center"/>
          </w:tcPr>
          <w:p w14:paraId="599081CD">
            <w:pPr>
              <w:spacing w:line="360" w:lineRule="auto"/>
              <w:jc w:val="center"/>
              <w:rPr>
                <w:rFonts w:ascii="Times New Roman" w:hAnsi="Times New Roman" w:eastAsia="宋体" w:cs="Times New Roman"/>
              </w:rPr>
            </w:pPr>
          </w:p>
        </w:tc>
        <w:tc>
          <w:tcPr>
            <w:tcW w:w="1024" w:type="dxa"/>
            <w:tcBorders>
              <w:tl2br w:val="nil"/>
              <w:tr2bl w:val="nil"/>
            </w:tcBorders>
            <w:tcMar>
              <w:top w:w="0" w:type="dxa"/>
              <w:left w:w="0" w:type="dxa"/>
              <w:bottom w:w="0" w:type="dxa"/>
              <w:right w:w="0" w:type="dxa"/>
            </w:tcMar>
            <w:vAlign w:val="center"/>
          </w:tcPr>
          <w:p w14:paraId="17D06BA5">
            <w:pPr>
              <w:spacing w:line="360" w:lineRule="auto"/>
              <w:jc w:val="center"/>
              <w:rPr>
                <w:rFonts w:ascii="Times New Roman" w:hAnsi="Times New Roman" w:eastAsia="宋体" w:cs="Times New Roman"/>
              </w:rPr>
            </w:pPr>
          </w:p>
        </w:tc>
        <w:tc>
          <w:tcPr>
            <w:tcW w:w="1048" w:type="dxa"/>
            <w:tcBorders>
              <w:tl2br w:val="nil"/>
              <w:tr2bl w:val="nil"/>
            </w:tcBorders>
            <w:vAlign w:val="center"/>
          </w:tcPr>
          <w:p w14:paraId="31BE4813">
            <w:pPr>
              <w:spacing w:line="360" w:lineRule="auto"/>
              <w:jc w:val="center"/>
              <w:rPr>
                <w:rFonts w:ascii="Times New Roman" w:hAnsi="Times New Roman" w:eastAsia="宋体" w:cs="Times New Roman"/>
                <w:szCs w:val="21"/>
              </w:rPr>
            </w:pPr>
          </w:p>
        </w:tc>
        <w:tc>
          <w:tcPr>
            <w:tcW w:w="707" w:type="dxa"/>
            <w:tcBorders>
              <w:tl2br w:val="nil"/>
              <w:tr2bl w:val="nil"/>
            </w:tcBorders>
            <w:tcMar>
              <w:top w:w="0" w:type="dxa"/>
              <w:left w:w="0" w:type="dxa"/>
              <w:bottom w:w="0" w:type="dxa"/>
              <w:right w:w="0" w:type="dxa"/>
            </w:tcMar>
            <w:vAlign w:val="center"/>
          </w:tcPr>
          <w:p w14:paraId="6BDFBE0B">
            <w:pPr>
              <w:spacing w:line="360" w:lineRule="auto"/>
              <w:jc w:val="center"/>
              <w:rPr>
                <w:rFonts w:ascii="Times New Roman" w:hAnsi="Times New Roman" w:eastAsia="宋体" w:cs="Times New Roman"/>
              </w:rPr>
            </w:pPr>
          </w:p>
        </w:tc>
        <w:tc>
          <w:tcPr>
            <w:tcW w:w="674" w:type="dxa"/>
            <w:tcBorders>
              <w:tl2br w:val="nil"/>
              <w:tr2bl w:val="nil"/>
            </w:tcBorders>
            <w:tcMar>
              <w:top w:w="0" w:type="dxa"/>
              <w:left w:w="0" w:type="dxa"/>
              <w:bottom w:w="0" w:type="dxa"/>
              <w:right w:w="0" w:type="dxa"/>
            </w:tcMar>
            <w:vAlign w:val="center"/>
          </w:tcPr>
          <w:p w14:paraId="018A8E3B">
            <w:pPr>
              <w:spacing w:line="360" w:lineRule="auto"/>
              <w:jc w:val="center"/>
              <w:rPr>
                <w:rFonts w:ascii="Times New Roman" w:hAnsi="Times New Roman" w:eastAsia="宋体" w:cs="Times New Roman"/>
              </w:rPr>
            </w:pPr>
          </w:p>
        </w:tc>
        <w:tc>
          <w:tcPr>
            <w:tcW w:w="857" w:type="dxa"/>
            <w:tcBorders>
              <w:tl2br w:val="nil"/>
              <w:tr2bl w:val="nil"/>
            </w:tcBorders>
            <w:tcMar>
              <w:top w:w="0" w:type="dxa"/>
              <w:left w:w="0" w:type="dxa"/>
              <w:bottom w:w="0" w:type="dxa"/>
              <w:right w:w="0" w:type="dxa"/>
            </w:tcMar>
            <w:vAlign w:val="center"/>
          </w:tcPr>
          <w:p w14:paraId="3B7F2601">
            <w:pPr>
              <w:spacing w:line="360" w:lineRule="auto"/>
              <w:jc w:val="center"/>
              <w:rPr>
                <w:rFonts w:ascii="Times New Roman" w:hAnsi="Times New Roman" w:eastAsia="宋体" w:cs="Times New Roman"/>
              </w:rPr>
            </w:pPr>
          </w:p>
        </w:tc>
        <w:tc>
          <w:tcPr>
            <w:tcW w:w="1096" w:type="dxa"/>
            <w:tcBorders>
              <w:tl2br w:val="nil"/>
              <w:tr2bl w:val="nil"/>
            </w:tcBorders>
            <w:tcMar>
              <w:top w:w="0" w:type="dxa"/>
              <w:left w:w="0" w:type="dxa"/>
              <w:bottom w:w="0" w:type="dxa"/>
              <w:right w:w="0" w:type="dxa"/>
            </w:tcMar>
            <w:vAlign w:val="center"/>
          </w:tcPr>
          <w:p w14:paraId="17E1D387">
            <w:pPr>
              <w:spacing w:line="360" w:lineRule="auto"/>
              <w:jc w:val="center"/>
              <w:rPr>
                <w:rFonts w:ascii="Times New Roman" w:hAnsi="Times New Roman" w:eastAsia="宋体" w:cs="Times New Roman"/>
              </w:rPr>
            </w:pPr>
          </w:p>
        </w:tc>
        <w:tc>
          <w:tcPr>
            <w:tcW w:w="1080" w:type="dxa"/>
            <w:tcBorders>
              <w:tl2br w:val="nil"/>
              <w:tr2bl w:val="nil"/>
            </w:tcBorders>
            <w:tcMar>
              <w:top w:w="0" w:type="dxa"/>
              <w:left w:w="0" w:type="dxa"/>
              <w:bottom w:w="0" w:type="dxa"/>
              <w:right w:w="0" w:type="dxa"/>
            </w:tcMar>
            <w:vAlign w:val="center"/>
          </w:tcPr>
          <w:p w14:paraId="4D7C94D8">
            <w:pPr>
              <w:spacing w:line="360" w:lineRule="auto"/>
              <w:jc w:val="center"/>
              <w:rPr>
                <w:rFonts w:ascii="Times New Roman" w:hAnsi="Times New Roman" w:eastAsia="宋体" w:cs="Times New Roman"/>
              </w:rPr>
            </w:pPr>
          </w:p>
        </w:tc>
        <w:tc>
          <w:tcPr>
            <w:tcW w:w="800" w:type="dxa"/>
            <w:tcBorders>
              <w:tl2br w:val="nil"/>
              <w:tr2bl w:val="nil"/>
            </w:tcBorders>
            <w:tcMar>
              <w:top w:w="0" w:type="dxa"/>
              <w:left w:w="0" w:type="dxa"/>
              <w:bottom w:w="0" w:type="dxa"/>
              <w:right w:w="0" w:type="dxa"/>
            </w:tcMar>
            <w:vAlign w:val="center"/>
          </w:tcPr>
          <w:p w14:paraId="3F670227">
            <w:pPr>
              <w:spacing w:line="360" w:lineRule="auto"/>
              <w:jc w:val="center"/>
              <w:rPr>
                <w:rFonts w:ascii="Times New Roman" w:hAnsi="Times New Roman" w:eastAsia="宋体" w:cs="Times New Roman"/>
              </w:rPr>
            </w:pPr>
          </w:p>
        </w:tc>
      </w:tr>
    </w:tbl>
    <w:p w14:paraId="095C3D60">
      <w:pPr>
        <w:adjustRightInd w:val="0"/>
        <w:snapToGrid w:val="0"/>
        <w:spacing w:line="360" w:lineRule="auto"/>
        <w:jc w:val="right"/>
        <w:rPr>
          <w:rFonts w:hint="eastAsia" w:ascii="宋体" w:hAnsi="宋体" w:eastAsia="宋体" w:cs="宋体"/>
          <w:szCs w:val="21"/>
        </w:rPr>
      </w:pPr>
      <w:r>
        <w:rPr>
          <w:rFonts w:hint="eastAsia" w:ascii="宋体" w:hAnsi="宋体" w:eastAsia="宋体" w:cs="宋体"/>
          <w:szCs w:val="21"/>
        </w:rPr>
        <w:t xml:space="preserve">金额单位：人民币元 </w:t>
      </w:r>
    </w:p>
    <w:p w14:paraId="32AB5109">
      <w:pPr>
        <w:spacing w:line="360" w:lineRule="atLeast"/>
        <w:ind w:firstLine="211"/>
        <w:rPr>
          <w:rFonts w:ascii="Times New Roman" w:hAnsi="Times New Roman" w:eastAsia="宋体" w:cs="Times New Roman"/>
        </w:rPr>
      </w:pPr>
      <w:r>
        <w:rPr>
          <w:rFonts w:ascii="Times New Roman" w:hAnsi="Times New Roman" w:eastAsia="宋体" w:cs="Times New Roman"/>
          <w:szCs w:val="21"/>
        </w:rPr>
        <w:t xml:space="preserve">  </w:t>
      </w:r>
    </w:p>
    <w:p w14:paraId="715092D8">
      <w:pPr>
        <w:spacing w:line="360" w:lineRule="auto"/>
        <w:rPr>
          <w:rFonts w:ascii="Times New Roman" w:hAnsi="Times New Roman" w:eastAsia="宋体" w:cs="Times New Roman"/>
        </w:rPr>
      </w:pPr>
      <w:r>
        <w:rPr>
          <w:rFonts w:ascii="宋体" w:hAnsi="宋体" w:eastAsia="宋体" w:cs="宋体"/>
          <w:szCs w:val="21"/>
        </w:rPr>
        <w:t>报价金额合计：小写：_______________ 大写：_______________</w:t>
      </w:r>
      <w:r>
        <w:rPr>
          <w:rFonts w:ascii="Times New Roman" w:hAnsi="Times New Roman" w:eastAsia="宋体" w:cs="Times New Roman"/>
          <w:szCs w:val="21"/>
        </w:rPr>
        <w:t xml:space="preserve"> </w:t>
      </w:r>
    </w:p>
    <w:p w14:paraId="3B1E5ABC">
      <w:pPr>
        <w:adjustRightInd w:val="0"/>
        <w:snapToGrid w:val="0"/>
        <w:spacing w:line="360" w:lineRule="auto"/>
        <w:rPr>
          <w:rFonts w:hint="eastAsia" w:ascii="宋体" w:hAnsi="宋体" w:eastAsia="宋体" w:cs="宋体"/>
          <w:szCs w:val="21"/>
        </w:rPr>
      </w:pPr>
    </w:p>
    <w:p w14:paraId="168BB84A">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 xml:space="preserve">说明：品牌和制造厂商指产品的品牌和生产厂商。中小企业是指制造厂商为“中型企业”或者“小型、微型企业”。政策功能编码是指产品的中国环境标志认证证书编号、节能标志认证证书号。 </w:t>
      </w:r>
    </w:p>
    <w:p w14:paraId="0929A822">
      <w:pPr>
        <w:rPr>
          <w:rFonts w:ascii="Times New Roman" w:hAnsi="Times New Roman" w:eastAsia="宋体" w:cs="Times New Roman"/>
        </w:rPr>
      </w:pPr>
      <w:r>
        <w:rPr>
          <w:rFonts w:ascii="Times New Roman" w:hAnsi="Times New Roman" w:eastAsia="宋体" w:cs="Times New Roman"/>
          <w:szCs w:val="21"/>
        </w:rPr>
        <w:t xml:space="preserve">  </w:t>
      </w:r>
    </w:p>
    <w:p w14:paraId="1E23CB23">
      <w:pPr>
        <w:spacing w:line="440" w:lineRule="atLeast"/>
        <w:rPr>
          <w:rFonts w:ascii="Times New Roman" w:hAnsi="Times New Roman" w:eastAsia="宋体" w:cs="Times New Roman"/>
        </w:rPr>
      </w:pPr>
      <w:r>
        <w:rPr>
          <w:rFonts w:ascii="Times New Roman" w:hAnsi="Times New Roman" w:eastAsia="宋体" w:cs="Times New Roman"/>
          <w:szCs w:val="21"/>
        </w:rPr>
        <w:t xml:space="preserve">  </w:t>
      </w:r>
    </w:p>
    <w:p w14:paraId="5E34CCB0">
      <w:pPr>
        <w:spacing w:before="50" w:line="360" w:lineRule="auto"/>
        <w:rPr>
          <w:rFonts w:ascii="Times New Roman" w:hAnsi="Times New Roman" w:eastAsia="宋体" w:cs="Times New Roman"/>
        </w:rPr>
      </w:pPr>
      <w:r>
        <w:rPr>
          <w:rFonts w:ascii="宋体" w:hAnsi="宋体" w:eastAsia="宋体" w:cs="宋体"/>
          <w:szCs w:val="21"/>
        </w:rPr>
        <w:t>投标人名称（单位电子签章）：</w:t>
      </w:r>
      <w:r>
        <w:rPr>
          <w:rFonts w:ascii="Times New Roman" w:hAnsi="Times New Roman" w:eastAsia="宋体" w:cs="Times New Roman"/>
          <w:szCs w:val="21"/>
        </w:rPr>
        <w:t xml:space="preserve"> </w:t>
      </w:r>
    </w:p>
    <w:p w14:paraId="2A9D6703">
      <w:pPr>
        <w:rPr>
          <w:rFonts w:hint="eastAsia" w:ascii="宋体" w:hAnsi="宋体" w:eastAsia="宋体" w:cs="宋体"/>
          <w:sz w:val="28"/>
          <w:szCs w:val="28"/>
        </w:rPr>
      </w:pPr>
      <w:r>
        <w:rPr>
          <w:rFonts w:hint="eastAsia" w:ascii="宋体" w:hAnsi="宋体" w:eastAsia="宋体" w:cs="Times New Roman"/>
          <w:szCs w:val="22"/>
          <w:lang w:bidi="ar"/>
        </w:rPr>
        <w:t>日期：   年   月   日</w:t>
      </w:r>
      <w:bookmarkEnd w:id="168"/>
    </w:p>
    <w:bookmarkEnd w:id="169"/>
    <w:p w14:paraId="7385A738">
      <w:pPr>
        <w:rPr>
          <w:rFonts w:hint="eastAsia" w:ascii="宋体" w:hAnsi="宋体" w:eastAsia="宋体" w:cs="宋体"/>
          <w:sz w:val="28"/>
          <w:szCs w:val="28"/>
        </w:rPr>
      </w:pPr>
      <w:r>
        <w:rPr>
          <w:rFonts w:hint="eastAsia" w:ascii="宋体" w:hAnsi="宋体" w:eastAsia="宋体" w:cs="宋体"/>
          <w:sz w:val="28"/>
          <w:szCs w:val="28"/>
        </w:rPr>
        <w:br w:type="page"/>
      </w:r>
    </w:p>
    <w:p w14:paraId="712EC5E6">
      <w:pPr>
        <w:adjustRightInd w:val="0"/>
        <w:snapToGrid w:val="0"/>
        <w:spacing w:line="360" w:lineRule="auto"/>
        <w:jc w:val="center"/>
        <w:outlineLvl w:val="2"/>
        <w:rPr>
          <w:rFonts w:hint="eastAsia" w:ascii="宋体" w:hAnsi="宋体" w:eastAsia="宋体" w:cs="宋体"/>
          <w:spacing w:val="6"/>
          <w:kern w:val="0"/>
          <w:szCs w:val="21"/>
        </w:rPr>
      </w:pPr>
      <w:bookmarkStart w:id="171" w:name="OLE_LINK216"/>
      <w:bookmarkStart w:id="172" w:name="OLE_LINK147"/>
      <w:bookmarkStart w:id="173" w:name="OLE_LINK148"/>
      <w:r>
        <w:rPr>
          <w:rFonts w:hint="eastAsia" w:ascii="宋体" w:hAnsi="宋体" w:eastAsia="黑体" w:cs="宋体"/>
          <w:b/>
          <w:bCs/>
          <w:sz w:val="28"/>
          <w:szCs w:val="28"/>
        </w:rPr>
        <w:t>五、中小企业声明函</w:t>
      </w:r>
      <w:bookmarkEnd w:id="170"/>
      <w:bookmarkEnd w:id="171"/>
      <w:bookmarkEnd w:id="172"/>
    </w:p>
    <w:p w14:paraId="2A6B089C">
      <w:pPr>
        <w:adjustRightInd w:val="0"/>
        <w:snapToGrid w:val="0"/>
        <w:spacing w:line="360" w:lineRule="auto"/>
        <w:ind w:firstLine="586" w:firstLineChars="200"/>
        <w:jc w:val="center"/>
        <w:rPr>
          <w:rFonts w:hint="eastAsia" w:ascii="宋体" w:hAnsi="宋体" w:eastAsia="宋体" w:cs="宋体"/>
          <w:b/>
          <w:bCs/>
          <w:spacing w:val="6"/>
          <w:kern w:val="0"/>
          <w:sz w:val="28"/>
          <w:szCs w:val="28"/>
        </w:rPr>
      </w:pPr>
      <w:r>
        <w:rPr>
          <w:rFonts w:hint="eastAsia" w:ascii="宋体" w:hAnsi="宋体" w:eastAsia="宋体" w:cs="宋体"/>
          <w:b/>
          <w:bCs/>
          <w:spacing w:val="6"/>
          <w:kern w:val="0"/>
          <w:sz w:val="28"/>
          <w:szCs w:val="28"/>
        </w:rPr>
        <w:t>中小企业声明函（货物）</w:t>
      </w:r>
    </w:p>
    <w:p w14:paraId="67360C7B">
      <w:pPr>
        <w:adjustRightInd w:val="0"/>
        <w:snapToGrid w:val="0"/>
        <w:spacing w:line="360" w:lineRule="auto"/>
        <w:ind w:firstLine="444" w:firstLineChars="200"/>
        <w:rPr>
          <w:rFonts w:hint="eastAsia" w:ascii="宋体" w:hAnsi="宋体" w:eastAsia="宋体" w:cs="宋体"/>
          <w:spacing w:val="6"/>
          <w:szCs w:val="21"/>
        </w:rPr>
      </w:pPr>
      <w:r>
        <w:rPr>
          <w:rFonts w:hint="eastAsia" w:ascii="宋体" w:hAnsi="宋体" w:eastAsia="宋体" w:cs="宋体"/>
          <w:spacing w:val="6"/>
          <w:szCs w:val="21"/>
        </w:rPr>
        <w:t>本公司（联合体）郑重声明，根据《政府采购促进中小企业发展管理办法》（财库﹝2020﹞46 号）的规定，本公司（联合体）参加</w:t>
      </w:r>
      <w:r>
        <w:rPr>
          <w:rFonts w:hint="eastAsia" w:ascii="宋体" w:hAnsi="宋体" w:eastAsia="宋体" w:cs="宋体"/>
          <w:spacing w:val="6"/>
          <w:szCs w:val="21"/>
          <w:u w:val="single"/>
        </w:rPr>
        <w:t xml:space="preserve"> （单位名称）</w:t>
      </w:r>
      <w:r>
        <w:rPr>
          <w:rFonts w:hint="eastAsia" w:ascii="宋体" w:hAnsi="宋体" w:eastAsia="宋体" w:cs="宋体"/>
          <w:spacing w:val="6"/>
          <w:szCs w:val="21"/>
        </w:rPr>
        <w:t xml:space="preserve"> 的</w:t>
      </w:r>
      <w:r>
        <w:rPr>
          <w:rFonts w:hint="eastAsia" w:ascii="宋体" w:hAnsi="宋体" w:eastAsia="宋体" w:cs="宋体"/>
          <w:spacing w:val="6"/>
          <w:szCs w:val="21"/>
          <w:u w:val="single"/>
        </w:rPr>
        <w:t xml:space="preserve"> （项目名称） </w:t>
      </w:r>
      <w:r>
        <w:rPr>
          <w:rFonts w:hint="eastAsia" w:ascii="宋体" w:hAnsi="宋体" w:eastAsia="宋体" w:cs="宋体"/>
          <w:spacing w:val="6"/>
          <w:szCs w:val="21"/>
        </w:rPr>
        <w:t>采购活动，提供的货物全部由符合政策要求的中小企业制造。相关企业（含联合体中的中小企业、签订分包意向协议的中小企业）的具体情况如下：</w:t>
      </w:r>
    </w:p>
    <w:p w14:paraId="1F89B349">
      <w:pPr>
        <w:numPr>
          <w:ilvl w:val="0"/>
          <w:numId w:val="4"/>
        </w:numPr>
        <w:adjustRightInd w:val="0"/>
        <w:snapToGrid w:val="0"/>
        <w:spacing w:line="360" w:lineRule="auto"/>
        <w:ind w:firstLine="444" w:firstLineChars="200"/>
        <w:rPr>
          <w:rFonts w:hint="eastAsia" w:ascii="宋体" w:hAnsi="宋体" w:eastAsia="宋体" w:cs="宋体"/>
          <w:spacing w:val="6"/>
          <w:szCs w:val="21"/>
        </w:rPr>
      </w:pPr>
      <w:r>
        <w:rPr>
          <w:rFonts w:hint="eastAsia" w:ascii="宋体" w:hAnsi="宋体" w:eastAsia="宋体" w:cs="宋体"/>
          <w:spacing w:val="6"/>
          <w:szCs w:val="21"/>
          <w:u w:val="single"/>
        </w:rPr>
        <w:t>（标的名称）</w:t>
      </w:r>
      <w:r>
        <w:rPr>
          <w:rFonts w:hint="eastAsia" w:ascii="宋体" w:hAnsi="宋体" w:eastAsia="宋体" w:cs="宋体"/>
          <w:spacing w:val="6"/>
          <w:szCs w:val="21"/>
        </w:rPr>
        <w:t xml:space="preserve"> ，属于</w:t>
      </w:r>
      <w:r>
        <w:rPr>
          <w:rFonts w:hint="eastAsia" w:ascii="宋体" w:hAnsi="宋体" w:eastAsia="宋体" w:cs="宋体"/>
          <w:spacing w:val="6"/>
          <w:szCs w:val="21"/>
          <w:u w:val="single"/>
        </w:rPr>
        <w:t xml:space="preserve"> （采购文件中明确的所属行业）</w:t>
      </w:r>
      <w:r>
        <w:rPr>
          <w:rFonts w:hint="eastAsia" w:ascii="宋体" w:hAnsi="宋体" w:eastAsia="宋体" w:cs="宋体"/>
          <w:spacing w:val="6"/>
          <w:szCs w:val="21"/>
        </w:rPr>
        <w:t>行业；制造商为</w:t>
      </w:r>
      <w:r>
        <w:rPr>
          <w:rFonts w:hint="eastAsia" w:ascii="宋体" w:hAnsi="宋体" w:eastAsia="宋体" w:cs="宋体"/>
          <w:spacing w:val="6"/>
          <w:szCs w:val="21"/>
          <w:u w:val="single"/>
        </w:rPr>
        <w:t xml:space="preserve"> （企业名称）</w:t>
      </w:r>
      <w:r>
        <w:rPr>
          <w:rFonts w:hint="eastAsia" w:ascii="宋体" w:hAnsi="宋体" w:eastAsia="宋体" w:cs="宋体"/>
          <w:spacing w:val="6"/>
          <w:szCs w:val="21"/>
        </w:rPr>
        <w:t>，从业人员</w:t>
      </w:r>
      <w:r>
        <w:rPr>
          <w:rFonts w:hint="eastAsia" w:ascii="宋体" w:hAnsi="宋体" w:eastAsia="宋体" w:cs="宋体"/>
          <w:spacing w:val="6"/>
          <w:szCs w:val="21"/>
          <w:u w:val="single"/>
        </w:rPr>
        <w:t xml:space="preserve">    </w:t>
      </w:r>
      <w:r>
        <w:rPr>
          <w:rFonts w:hint="eastAsia" w:ascii="宋体" w:hAnsi="宋体" w:eastAsia="宋体" w:cs="宋体"/>
          <w:spacing w:val="6"/>
          <w:szCs w:val="21"/>
        </w:rPr>
        <w:t>人，营业收入为</w:t>
      </w:r>
      <w:r>
        <w:rPr>
          <w:rFonts w:hint="eastAsia" w:ascii="宋体" w:hAnsi="宋体" w:eastAsia="宋体" w:cs="宋体"/>
          <w:spacing w:val="6"/>
          <w:szCs w:val="21"/>
          <w:u w:val="single"/>
        </w:rPr>
        <w:t xml:space="preserve">    </w:t>
      </w:r>
      <w:r>
        <w:rPr>
          <w:rFonts w:hint="eastAsia" w:ascii="宋体" w:hAnsi="宋体" w:eastAsia="宋体" w:cs="宋体"/>
          <w:spacing w:val="6"/>
          <w:szCs w:val="21"/>
        </w:rPr>
        <w:t>万元，资产总额为</w:t>
      </w:r>
      <w:r>
        <w:rPr>
          <w:rFonts w:hint="eastAsia" w:ascii="宋体" w:hAnsi="宋体" w:eastAsia="宋体" w:cs="宋体"/>
          <w:spacing w:val="6"/>
          <w:szCs w:val="21"/>
          <w:u w:val="single"/>
        </w:rPr>
        <w:t xml:space="preserve">    </w:t>
      </w:r>
      <w:r>
        <w:rPr>
          <w:rFonts w:hint="eastAsia" w:ascii="宋体" w:hAnsi="宋体" w:eastAsia="宋体" w:cs="宋体"/>
          <w:spacing w:val="6"/>
          <w:szCs w:val="21"/>
        </w:rPr>
        <w:t>万元，属于</w:t>
      </w:r>
      <w:r>
        <w:rPr>
          <w:rFonts w:hint="eastAsia" w:ascii="宋体" w:hAnsi="宋体" w:eastAsia="宋体" w:cs="宋体"/>
          <w:spacing w:val="6"/>
          <w:szCs w:val="21"/>
          <w:u w:val="single"/>
        </w:rPr>
        <w:t xml:space="preserve"> （中型企业、小型企业、微型企业） </w:t>
      </w:r>
      <w:r>
        <w:rPr>
          <w:rFonts w:hint="eastAsia" w:ascii="宋体" w:hAnsi="宋体" w:eastAsia="宋体" w:cs="宋体"/>
          <w:spacing w:val="6"/>
          <w:szCs w:val="21"/>
        </w:rPr>
        <w:t>；</w:t>
      </w:r>
    </w:p>
    <w:p w14:paraId="00AFC0E1">
      <w:pPr>
        <w:adjustRightInd w:val="0"/>
        <w:snapToGrid w:val="0"/>
        <w:spacing w:line="360" w:lineRule="auto"/>
        <w:ind w:firstLine="444" w:firstLineChars="200"/>
        <w:rPr>
          <w:rFonts w:hint="eastAsia" w:ascii="宋体" w:hAnsi="宋体" w:eastAsia="宋体" w:cs="宋体"/>
          <w:spacing w:val="6"/>
          <w:szCs w:val="21"/>
        </w:rPr>
      </w:pPr>
      <w:r>
        <w:rPr>
          <w:rFonts w:hint="eastAsia" w:ascii="宋体" w:hAnsi="宋体" w:eastAsia="宋体" w:cs="宋体"/>
          <w:spacing w:val="6"/>
          <w:szCs w:val="21"/>
        </w:rPr>
        <w:t xml:space="preserve">2. </w:t>
      </w:r>
      <w:r>
        <w:rPr>
          <w:rFonts w:hint="eastAsia" w:ascii="宋体" w:hAnsi="宋体" w:eastAsia="宋体" w:cs="宋体"/>
          <w:spacing w:val="6"/>
          <w:szCs w:val="21"/>
          <w:u w:val="single"/>
        </w:rPr>
        <w:t xml:space="preserve">（标的名称） </w:t>
      </w:r>
      <w:r>
        <w:rPr>
          <w:rFonts w:hint="eastAsia" w:ascii="宋体" w:hAnsi="宋体" w:eastAsia="宋体" w:cs="宋体"/>
          <w:spacing w:val="6"/>
          <w:szCs w:val="21"/>
        </w:rPr>
        <w:t>，属于</w:t>
      </w:r>
      <w:r>
        <w:rPr>
          <w:rFonts w:hint="eastAsia" w:ascii="宋体" w:hAnsi="宋体" w:eastAsia="宋体" w:cs="宋体"/>
          <w:spacing w:val="6"/>
          <w:szCs w:val="21"/>
          <w:u w:val="single"/>
        </w:rPr>
        <w:t xml:space="preserve"> （采购文件中明确的所属行业）</w:t>
      </w:r>
      <w:r>
        <w:rPr>
          <w:rFonts w:hint="eastAsia" w:ascii="宋体" w:hAnsi="宋体" w:eastAsia="宋体" w:cs="宋体"/>
          <w:spacing w:val="6"/>
          <w:szCs w:val="21"/>
        </w:rPr>
        <w:t>行业 ；制造商为</w:t>
      </w:r>
      <w:r>
        <w:rPr>
          <w:rFonts w:hint="eastAsia" w:ascii="宋体" w:hAnsi="宋体" w:eastAsia="宋体" w:cs="宋体"/>
          <w:spacing w:val="6"/>
          <w:szCs w:val="21"/>
          <w:u w:val="single"/>
        </w:rPr>
        <w:t xml:space="preserve"> （企业名称） </w:t>
      </w:r>
      <w:r>
        <w:rPr>
          <w:rFonts w:hint="eastAsia" w:ascii="宋体" w:hAnsi="宋体" w:eastAsia="宋体" w:cs="宋体"/>
          <w:spacing w:val="6"/>
          <w:szCs w:val="21"/>
        </w:rPr>
        <w:t>，从业人员</w:t>
      </w:r>
      <w:r>
        <w:rPr>
          <w:rFonts w:hint="eastAsia" w:ascii="宋体" w:hAnsi="宋体" w:eastAsia="宋体" w:cs="宋体"/>
          <w:spacing w:val="6"/>
          <w:szCs w:val="21"/>
          <w:u w:val="single"/>
        </w:rPr>
        <w:t xml:space="preserve">   </w:t>
      </w:r>
      <w:r>
        <w:rPr>
          <w:rFonts w:hint="eastAsia" w:ascii="宋体" w:hAnsi="宋体" w:eastAsia="宋体" w:cs="宋体"/>
          <w:spacing w:val="6"/>
          <w:szCs w:val="21"/>
        </w:rPr>
        <w:t>人，营业收入为</w:t>
      </w:r>
      <w:r>
        <w:rPr>
          <w:rFonts w:hint="eastAsia" w:ascii="宋体" w:hAnsi="宋体" w:eastAsia="宋体" w:cs="宋体"/>
          <w:spacing w:val="6"/>
          <w:szCs w:val="21"/>
          <w:u w:val="single"/>
        </w:rPr>
        <w:t xml:space="preserve">   </w:t>
      </w:r>
      <w:r>
        <w:rPr>
          <w:rFonts w:hint="eastAsia" w:ascii="宋体" w:hAnsi="宋体" w:eastAsia="宋体" w:cs="宋体"/>
          <w:spacing w:val="6"/>
          <w:szCs w:val="21"/>
        </w:rPr>
        <w:t>万元，资产总额为</w:t>
      </w:r>
      <w:r>
        <w:rPr>
          <w:rFonts w:hint="eastAsia" w:ascii="宋体" w:hAnsi="宋体" w:eastAsia="宋体" w:cs="宋体"/>
          <w:spacing w:val="6"/>
          <w:szCs w:val="21"/>
          <w:u w:val="single"/>
        </w:rPr>
        <w:t xml:space="preserve">    </w:t>
      </w:r>
      <w:r>
        <w:rPr>
          <w:rFonts w:hint="eastAsia" w:ascii="宋体" w:hAnsi="宋体" w:eastAsia="宋体" w:cs="宋体"/>
          <w:spacing w:val="6"/>
          <w:szCs w:val="21"/>
        </w:rPr>
        <w:t>万元，属于</w:t>
      </w:r>
      <w:r>
        <w:rPr>
          <w:rFonts w:hint="eastAsia" w:ascii="宋体" w:hAnsi="宋体" w:eastAsia="宋体" w:cs="宋体"/>
          <w:spacing w:val="6"/>
          <w:szCs w:val="21"/>
          <w:u w:val="single"/>
        </w:rPr>
        <w:t xml:space="preserve"> （中型企业、小型企业、微型企业）</w:t>
      </w:r>
      <w:r>
        <w:rPr>
          <w:rFonts w:hint="eastAsia" w:ascii="宋体" w:hAnsi="宋体" w:eastAsia="宋体" w:cs="宋体"/>
          <w:spacing w:val="6"/>
          <w:szCs w:val="21"/>
        </w:rPr>
        <w:t>；</w:t>
      </w:r>
    </w:p>
    <w:p w14:paraId="7187248B">
      <w:pPr>
        <w:adjustRightInd w:val="0"/>
        <w:snapToGrid w:val="0"/>
        <w:spacing w:line="360" w:lineRule="auto"/>
        <w:ind w:firstLine="444" w:firstLineChars="200"/>
        <w:rPr>
          <w:rFonts w:hint="eastAsia" w:ascii="宋体" w:hAnsi="宋体" w:eastAsia="宋体" w:cs="宋体"/>
          <w:spacing w:val="6"/>
          <w:szCs w:val="21"/>
        </w:rPr>
      </w:pPr>
      <w:r>
        <w:rPr>
          <w:rFonts w:hint="eastAsia" w:ascii="宋体" w:hAnsi="宋体" w:eastAsia="宋体" w:cs="宋体"/>
          <w:spacing w:val="6"/>
          <w:szCs w:val="21"/>
        </w:rPr>
        <w:t>……</w:t>
      </w:r>
    </w:p>
    <w:p w14:paraId="6891DA29">
      <w:pPr>
        <w:adjustRightInd w:val="0"/>
        <w:snapToGrid w:val="0"/>
        <w:spacing w:line="360" w:lineRule="auto"/>
        <w:ind w:firstLine="444" w:firstLineChars="200"/>
        <w:rPr>
          <w:rFonts w:hint="eastAsia" w:ascii="宋体" w:hAnsi="宋体" w:eastAsia="宋体" w:cs="宋体"/>
          <w:spacing w:val="6"/>
          <w:szCs w:val="21"/>
        </w:rPr>
      </w:pPr>
      <w:r>
        <w:rPr>
          <w:rFonts w:hint="eastAsia" w:ascii="宋体" w:hAnsi="宋体" w:eastAsia="宋体" w:cs="宋体"/>
          <w:spacing w:val="6"/>
          <w:szCs w:val="21"/>
        </w:rPr>
        <w:t>以上企业，不属于大企业的分支机构，不存在控股股东为大企业的情形，也不存在与大企业的负责人为同一人的情形。</w:t>
      </w:r>
    </w:p>
    <w:p w14:paraId="3E6B5167">
      <w:pPr>
        <w:adjustRightInd w:val="0"/>
        <w:snapToGrid w:val="0"/>
        <w:spacing w:line="360" w:lineRule="auto"/>
        <w:ind w:firstLine="444" w:firstLineChars="200"/>
        <w:rPr>
          <w:rFonts w:hint="eastAsia" w:ascii="宋体" w:hAnsi="宋体" w:eastAsia="宋体" w:cs="宋体"/>
          <w:spacing w:val="6"/>
          <w:szCs w:val="21"/>
        </w:rPr>
      </w:pPr>
      <w:r>
        <w:rPr>
          <w:rFonts w:hint="eastAsia" w:ascii="宋体" w:hAnsi="宋体" w:eastAsia="宋体" w:cs="宋体"/>
          <w:spacing w:val="6"/>
          <w:szCs w:val="21"/>
        </w:rPr>
        <w:t>本企业对上述声明内容的真实性负责。如有虚假，将依法承担相应责任。</w:t>
      </w:r>
    </w:p>
    <w:p w14:paraId="361EB595">
      <w:pPr>
        <w:adjustRightInd w:val="0"/>
        <w:snapToGrid w:val="0"/>
        <w:spacing w:line="360" w:lineRule="auto"/>
        <w:ind w:firstLine="4662" w:firstLineChars="2100"/>
        <w:rPr>
          <w:rFonts w:hint="eastAsia" w:ascii="宋体" w:hAnsi="宋体" w:eastAsia="宋体" w:cs="宋体"/>
          <w:spacing w:val="6"/>
          <w:szCs w:val="21"/>
        </w:rPr>
      </w:pPr>
      <w:r>
        <w:rPr>
          <w:rFonts w:hint="eastAsia" w:ascii="宋体" w:hAnsi="宋体" w:eastAsia="宋体" w:cs="宋体"/>
          <w:spacing w:val="6"/>
          <w:szCs w:val="21"/>
        </w:rPr>
        <w:t>企业名称（盖章）：</w:t>
      </w:r>
    </w:p>
    <w:p w14:paraId="5328F4D0">
      <w:pPr>
        <w:adjustRightInd w:val="0"/>
        <w:snapToGrid w:val="0"/>
        <w:spacing w:line="360" w:lineRule="auto"/>
        <w:ind w:firstLine="4662" w:firstLineChars="2100"/>
        <w:rPr>
          <w:rFonts w:hint="eastAsia" w:ascii="宋体" w:hAnsi="宋体" w:eastAsia="宋体" w:cs="宋体"/>
          <w:spacing w:val="6"/>
          <w:szCs w:val="21"/>
        </w:rPr>
      </w:pPr>
      <w:r>
        <w:rPr>
          <w:rFonts w:hint="eastAsia" w:ascii="宋体" w:hAnsi="宋体" w:eastAsia="宋体" w:cs="宋体"/>
          <w:spacing w:val="6"/>
          <w:szCs w:val="21"/>
        </w:rPr>
        <w:t>日 期：</w:t>
      </w:r>
    </w:p>
    <w:p w14:paraId="6544A7AD">
      <w:pPr>
        <w:widowControl/>
        <w:jc w:val="left"/>
        <w:rPr>
          <w:rFonts w:hint="eastAsia" w:ascii="宋体" w:hAnsi="宋体" w:eastAsia="宋体" w:cs="宋体"/>
          <w:kern w:val="0"/>
          <w:sz w:val="18"/>
          <w:szCs w:val="18"/>
          <w:lang w:bidi="ar"/>
        </w:rPr>
      </w:pPr>
    </w:p>
    <w:p w14:paraId="15E18911">
      <w:pPr>
        <w:widowControl/>
        <w:jc w:val="left"/>
        <w:rPr>
          <w:rFonts w:hint="eastAsia" w:ascii="宋体" w:hAnsi="宋体" w:eastAsia="宋体" w:cs="宋体"/>
          <w:spacing w:val="6"/>
          <w:kern w:val="0"/>
          <w:szCs w:val="21"/>
        </w:rPr>
      </w:pPr>
      <w:r>
        <w:rPr>
          <w:rFonts w:hint="eastAsia" w:ascii="宋体" w:hAnsi="宋体" w:eastAsia="宋体" w:cs="宋体"/>
          <w:b/>
          <w:bCs/>
          <w:kern w:val="0"/>
          <w:sz w:val="18"/>
          <w:szCs w:val="18"/>
          <w:lang w:bidi="ar"/>
        </w:rPr>
        <w:t>备注：从业人员、营业收入、资产总额填报上一年度数据，无上一年度数据的新成立企业可不填报。</w:t>
      </w:r>
      <w:bookmarkEnd w:id="173"/>
    </w:p>
    <w:p w14:paraId="08541643">
      <w:pPr>
        <w:rPr>
          <w:rFonts w:hint="eastAsia" w:ascii="宋体" w:hAnsi="宋体" w:eastAsia="黑体" w:cs="宋体"/>
          <w:b/>
          <w:bCs/>
          <w:sz w:val="28"/>
          <w:szCs w:val="28"/>
        </w:rPr>
      </w:pPr>
      <w:bookmarkStart w:id="174" w:name="_Toc14938"/>
      <w:r>
        <w:rPr>
          <w:rFonts w:hint="eastAsia" w:ascii="宋体" w:hAnsi="宋体" w:eastAsia="黑体" w:cs="宋体"/>
          <w:b/>
          <w:bCs/>
          <w:sz w:val="28"/>
          <w:szCs w:val="28"/>
        </w:rPr>
        <w:br w:type="page"/>
      </w:r>
    </w:p>
    <w:p w14:paraId="1CE6CDF3">
      <w:pPr>
        <w:adjustRightInd w:val="0"/>
        <w:snapToGrid w:val="0"/>
        <w:spacing w:line="360" w:lineRule="auto"/>
        <w:jc w:val="center"/>
        <w:outlineLvl w:val="2"/>
        <w:rPr>
          <w:rFonts w:hint="eastAsia" w:ascii="宋体" w:hAnsi="宋体" w:eastAsia="黑体" w:cs="宋体"/>
          <w:b/>
          <w:bCs/>
          <w:sz w:val="28"/>
          <w:szCs w:val="28"/>
        </w:rPr>
      </w:pPr>
      <w:bookmarkStart w:id="175" w:name="OLE_LINK149"/>
      <w:bookmarkStart w:id="176" w:name="OLE_LINK217"/>
      <w:bookmarkStart w:id="177" w:name="OLE_LINK218"/>
      <w:bookmarkStart w:id="178" w:name="OLE_LINK150"/>
      <w:r>
        <w:rPr>
          <w:rFonts w:hint="eastAsia" w:ascii="宋体" w:hAnsi="宋体" w:eastAsia="黑体" w:cs="宋体"/>
          <w:b/>
          <w:bCs/>
          <w:sz w:val="28"/>
          <w:szCs w:val="28"/>
        </w:rPr>
        <w:t>六、残疾人福利性单位声明函</w:t>
      </w:r>
      <w:bookmarkEnd w:id="174"/>
      <w:bookmarkEnd w:id="175"/>
    </w:p>
    <w:p w14:paraId="54266A83">
      <w:pPr>
        <w:adjustRightInd w:val="0"/>
        <w:snapToGrid w:val="0"/>
        <w:spacing w:line="360" w:lineRule="auto"/>
        <w:ind w:firstLine="444" w:firstLineChars="200"/>
        <w:rPr>
          <w:rFonts w:hint="eastAsia" w:ascii="宋体" w:hAnsi="宋体" w:eastAsia="宋体" w:cs="宋体"/>
          <w:spacing w:val="6"/>
          <w:szCs w:val="21"/>
        </w:rPr>
      </w:pPr>
    </w:p>
    <w:p w14:paraId="60D0FFC0">
      <w:pPr>
        <w:adjustRightInd w:val="0"/>
        <w:snapToGrid w:val="0"/>
        <w:spacing w:line="360" w:lineRule="auto"/>
        <w:ind w:firstLine="444" w:firstLineChars="200"/>
        <w:rPr>
          <w:rFonts w:hint="eastAsia" w:ascii="宋体" w:hAnsi="宋体" w:eastAsia="宋体" w:cs="宋体"/>
          <w:spacing w:val="6"/>
          <w:szCs w:val="21"/>
        </w:rPr>
      </w:pPr>
      <w:r>
        <w:rPr>
          <w:rFonts w:hint="eastAsia" w:ascii="宋体" w:hAnsi="宋体" w:eastAsia="宋体" w:cs="宋体"/>
          <w:spacing w:val="6"/>
          <w:szCs w:val="21"/>
        </w:rPr>
        <w:t>本单位郑重声明，根据《财政部 民政部 中国残疾人联合会关于促进残疾人就业政府采购政策的通知》（财库</w:t>
      </w:r>
      <w:r>
        <w:rPr>
          <w:rFonts w:hint="eastAsia" w:ascii="宋体" w:hAnsi="宋体" w:eastAsia="宋体" w:cs="宋体"/>
          <w:szCs w:val="21"/>
        </w:rPr>
        <w:t>〔2017〕141</w:t>
      </w:r>
      <w:r>
        <w:rPr>
          <w:rFonts w:hint="eastAsia" w:ascii="宋体" w:hAnsi="宋体" w:eastAsia="宋体" w:cs="宋体"/>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CF052A0">
      <w:pPr>
        <w:adjustRightInd w:val="0"/>
        <w:snapToGrid w:val="0"/>
        <w:spacing w:line="360" w:lineRule="auto"/>
        <w:ind w:firstLine="444" w:firstLineChars="200"/>
        <w:rPr>
          <w:rFonts w:hint="eastAsia" w:ascii="宋体" w:hAnsi="宋体" w:eastAsia="宋体" w:cs="宋体"/>
          <w:spacing w:val="6"/>
          <w:szCs w:val="21"/>
        </w:rPr>
      </w:pPr>
      <w:r>
        <w:rPr>
          <w:rFonts w:hint="eastAsia" w:ascii="宋体" w:hAnsi="宋体" w:eastAsia="宋体" w:cs="宋体"/>
          <w:spacing w:val="6"/>
          <w:szCs w:val="21"/>
        </w:rPr>
        <w:t>本单位对上述声明的真实性负责。如有虚假，将依法承担相应责任。</w:t>
      </w:r>
    </w:p>
    <w:p w14:paraId="3A9E90DA">
      <w:pPr>
        <w:adjustRightInd w:val="0"/>
        <w:snapToGrid w:val="0"/>
        <w:spacing w:line="360" w:lineRule="auto"/>
        <w:ind w:firstLine="444" w:firstLineChars="200"/>
        <w:rPr>
          <w:rFonts w:hint="eastAsia" w:ascii="宋体" w:hAnsi="宋体" w:eastAsia="宋体" w:cs="宋体"/>
          <w:spacing w:val="6"/>
          <w:szCs w:val="21"/>
        </w:rPr>
      </w:pPr>
    </w:p>
    <w:p w14:paraId="7027D508">
      <w:pPr>
        <w:adjustRightInd w:val="0"/>
        <w:snapToGrid w:val="0"/>
        <w:spacing w:line="360" w:lineRule="auto"/>
        <w:ind w:firstLine="444" w:firstLineChars="200"/>
        <w:rPr>
          <w:rFonts w:hint="eastAsia" w:ascii="宋体" w:hAnsi="宋体" w:eastAsia="宋体" w:cs="宋体"/>
          <w:spacing w:val="6"/>
          <w:szCs w:val="21"/>
        </w:rPr>
      </w:pPr>
    </w:p>
    <w:p w14:paraId="43248BF1">
      <w:pPr>
        <w:tabs>
          <w:tab w:val="left" w:pos="4860"/>
        </w:tabs>
        <w:adjustRightInd w:val="0"/>
        <w:snapToGrid w:val="0"/>
        <w:spacing w:line="360" w:lineRule="auto"/>
        <w:ind w:right="1560" w:firstLine="444" w:firstLineChars="200"/>
        <w:jc w:val="center"/>
        <w:rPr>
          <w:rFonts w:hint="eastAsia" w:ascii="宋体" w:hAnsi="宋体" w:eastAsia="宋体" w:cs="宋体"/>
          <w:spacing w:val="6"/>
          <w:szCs w:val="21"/>
        </w:rPr>
      </w:pPr>
      <w:r>
        <w:rPr>
          <w:rFonts w:hint="eastAsia" w:ascii="宋体" w:hAnsi="宋体" w:eastAsia="宋体" w:cs="宋体"/>
          <w:spacing w:val="6"/>
          <w:szCs w:val="21"/>
        </w:rPr>
        <w:t xml:space="preserve">               单位名称（盖章）：</w:t>
      </w:r>
    </w:p>
    <w:p w14:paraId="6C197616">
      <w:pPr>
        <w:tabs>
          <w:tab w:val="left" w:pos="4860"/>
        </w:tabs>
        <w:adjustRightInd w:val="0"/>
        <w:snapToGrid w:val="0"/>
        <w:spacing w:line="360" w:lineRule="auto"/>
        <w:ind w:right="1560" w:firstLine="444" w:firstLineChars="200"/>
        <w:jc w:val="center"/>
        <w:rPr>
          <w:rFonts w:hint="eastAsia" w:ascii="宋体" w:hAnsi="宋体" w:eastAsia="宋体" w:cs="宋体"/>
          <w:spacing w:val="6"/>
          <w:szCs w:val="21"/>
        </w:rPr>
      </w:pPr>
      <w:r>
        <w:rPr>
          <w:rFonts w:hint="eastAsia" w:ascii="宋体" w:hAnsi="宋体" w:eastAsia="宋体" w:cs="宋体"/>
          <w:spacing w:val="6"/>
          <w:szCs w:val="21"/>
        </w:rPr>
        <w:t xml:space="preserve">       日  期：</w:t>
      </w:r>
    </w:p>
    <w:bookmarkEnd w:id="176"/>
    <w:p w14:paraId="27D42C85">
      <w:pPr>
        <w:widowControl w:val="0"/>
        <w:tabs>
          <w:tab w:val="left" w:pos="360"/>
        </w:tabs>
        <w:adjustRightInd w:val="0"/>
        <w:ind w:left="360" w:hanging="360"/>
        <w:jc w:val="both"/>
        <w:textAlignment w:val="baseline"/>
        <w:rPr>
          <w:rFonts w:hint="eastAsia" w:ascii="宋体" w:hAnsi="宋体" w:eastAsia="宋体" w:cs="宋体"/>
          <w:i/>
          <w:spacing w:val="6"/>
          <w:kern w:val="0"/>
          <w:sz w:val="21"/>
          <w:szCs w:val="21"/>
          <w:lang w:val="en-US" w:eastAsia="zh-CN" w:bidi="ar-SA"/>
        </w:rPr>
      </w:pPr>
    </w:p>
    <w:p w14:paraId="11BCADFB">
      <w:pPr>
        <w:adjustRightInd w:val="0"/>
        <w:snapToGrid w:val="0"/>
        <w:spacing w:line="360" w:lineRule="auto"/>
        <w:jc w:val="center"/>
        <w:rPr>
          <w:rFonts w:hint="eastAsia" w:ascii="宋体" w:hAnsi="宋体" w:eastAsia="宋体" w:cs="宋体"/>
          <w:b/>
          <w:sz w:val="28"/>
          <w:szCs w:val="28"/>
        </w:rPr>
      </w:pPr>
    </w:p>
    <w:p w14:paraId="0E6B2A7D">
      <w:pPr>
        <w:adjustRightInd w:val="0"/>
        <w:snapToGrid w:val="0"/>
        <w:spacing w:line="360" w:lineRule="auto"/>
        <w:jc w:val="center"/>
        <w:rPr>
          <w:rFonts w:hint="eastAsia" w:ascii="宋体" w:hAnsi="宋体" w:eastAsia="宋体" w:cs="宋体"/>
          <w:b/>
          <w:sz w:val="28"/>
          <w:szCs w:val="28"/>
        </w:rPr>
      </w:pPr>
    </w:p>
    <w:p w14:paraId="4049A8A5">
      <w:pPr>
        <w:adjustRightInd w:val="0"/>
        <w:snapToGrid w:val="0"/>
        <w:spacing w:line="360" w:lineRule="auto"/>
        <w:jc w:val="center"/>
        <w:rPr>
          <w:rFonts w:hint="eastAsia" w:ascii="宋体" w:hAnsi="宋体" w:eastAsia="宋体" w:cs="宋体"/>
          <w:b/>
          <w:sz w:val="28"/>
          <w:szCs w:val="28"/>
        </w:rPr>
      </w:pPr>
      <w:r>
        <w:rPr>
          <w:rFonts w:hint="eastAsia" w:ascii="宋体" w:hAnsi="宋体" w:eastAsia="宋体" w:cs="宋体"/>
          <w:b/>
          <w:sz w:val="28"/>
          <w:szCs w:val="28"/>
        </w:rPr>
        <w:t>监狱企业证明资料</w:t>
      </w:r>
    </w:p>
    <w:p w14:paraId="64D7945C">
      <w:pPr>
        <w:adjustRightInd w:val="0"/>
        <w:snapToGrid w:val="0"/>
        <w:spacing w:line="360" w:lineRule="auto"/>
        <w:jc w:val="center"/>
        <w:rPr>
          <w:rFonts w:hint="eastAsia" w:ascii="宋体" w:hAnsi="宋体" w:eastAsia="宋体" w:cs="宋体"/>
          <w:b/>
          <w:spacing w:val="6"/>
          <w:szCs w:val="21"/>
        </w:rPr>
      </w:pPr>
      <w:r>
        <w:rPr>
          <w:rFonts w:hint="eastAsia" w:ascii="宋体" w:hAnsi="宋体" w:eastAsia="宋体" w:cs="宋体"/>
          <w:b/>
          <w:spacing w:val="6"/>
          <w:szCs w:val="21"/>
        </w:rPr>
        <w:t>（不属于监狱企业的无需提供）</w:t>
      </w:r>
    </w:p>
    <w:p w14:paraId="3D638622">
      <w:pPr>
        <w:adjustRightInd w:val="0"/>
        <w:snapToGrid w:val="0"/>
        <w:spacing w:line="360" w:lineRule="auto"/>
        <w:rPr>
          <w:rFonts w:hint="eastAsia" w:ascii="宋体" w:hAnsi="宋体" w:eastAsia="宋体" w:cs="宋体"/>
          <w:szCs w:val="21"/>
        </w:rPr>
      </w:pPr>
    </w:p>
    <w:p w14:paraId="2E1D91BB">
      <w:pPr>
        <w:adjustRightInd w:val="0"/>
        <w:snapToGrid w:val="0"/>
        <w:spacing w:line="360" w:lineRule="auto"/>
        <w:ind w:firstLine="444" w:firstLineChars="200"/>
        <w:rPr>
          <w:rFonts w:hint="eastAsia" w:ascii="宋体" w:hAnsi="宋体" w:eastAsia="宋体" w:cs="宋体"/>
          <w:szCs w:val="21"/>
        </w:rPr>
      </w:pPr>
      <w:r>
        <w:rPr>
          <w:rFonts w:hint="eastAsia" w:ascii="宋体" w:hAnsi="宋体" w:eastAsia="宋体" w:cs="宋体"/>
          <w:bCs/>
          <w:spacing w:val="6"/>
          <w:kern w:val="0"/>
          <w:szCs w:val="21"/>
        </w:rPr>
        <w:t>备注：</w:t>
      </w:r>
      <w:r>
        <w:rPr>
          <w:rFonts w:hint="eastAsia" w:ascii="宋体" w:hAnsi="宋体" w:eastAsia="宋体" w:cs="宋体"/>
          <w:szCs w:val="21"/>
        </w:rPr>
        <w:t>按</w:t>
      </w:r>
      <w:r>
        <w:rPr>
          <w:rFonts w:hint="eastAsia" w:ascii="宋体" w:hAnsi="宋体" w:eastAsia="宋体" w:cs="宋体"/>
          <w:spacing w:val="6"/>
          <w:szCs w:val="21"/>
        </w:rPr>
        <w:t>《</w:t>
      </w:r>
      <w:r>
        <w:rPr>
          <w:rFonts w:hint="eastAsia" w:ascii="宋体" w:hAnsi="宋体" w:eastAsia="宋体" w:cs="宋体"/>
          <w:szCs w:val="21"/>
        </w:rPr>
        <w:t>财政部 司法部关于政府采购支持监狱企业发展有关问题的通知</w:t>
      </w:r>
      <w:r>
        <w:rPr>
          <w:rFonts w:hint="eastAsia" w:ascii="宋体" w:hAnsi="宋体" w:eastAsia="宋体" w:cs="宋体"/>
          <w:spacing w:val="6"/>
          <w:szCs w:val="21"/>
        </w:rPr>
        <w:t>》（</w:t>
      </w:r>
      <w:r>
        <w:rPr>
          <w:rFonts w:hint="eastAsia" w:ascii="宋体" w:hAnsi="宋体" w:eastAsia="宋体" w:cs="宋体"/>
          <w:szCs w:val="21"/>
        </w:rPr>
        <w:t>财库〔2014〕68号）文件规定提供证明文件（复印件）。</w:t>
      </w:r>
      <w:bookmarkEnd w:id="177"/>
    </w:p>
    <w:bookmarkEnd w:id="178"/>
    <w:p w14:paraId="3F6C826F">
      <w:pPr>
        <w:rPr>
          <w:rFonts w:ascii="Times New Roman" w:hAnsi="Times New Roman" w:eastAsia="宋体" w:cs="Times New Roman"/>
        </w:rPr>
      </w:pPr>
    </w:p>
    <w:p w14:paraId="40D4AB73">
      <w:pPr>
        <w:widowControl/>
        <w:adjustRightInd w:val="0"/>
        <w:snapToGrid w:val="0"/>
        <w:spacing w:line="360" w:lineRule="auto"/>
        <w:jc w:val="left"/>
        <w:rPr>
          <w:rFonts w:hint="eastAsia" w:ascii="宋体" w:hAnsi="宋体" w:eastAsia="宋体" w:cs="宋体"/>
          <w:kern w:val="0"/>
          <w:szCs w:val="21"/>
        </w:rPr>
      </w:pPr>
    </w:p>
    <w:p w14:paraId="39AF9F39">
      <w:pPr>
        <w:rPr>
          <w:rFonts w:hint="eastAsia" w:ascii="宋体" w:hAnsi="宋体" w:eastAsia="宋体" w:cs="宋体"/>
          <w:kern w:val="2"/>
          <w:sz w:val="21"/>
          <w:szCs w:val="24"/>
          <w:lang w:val="en-US" w:eastAsia="zh-CN" w:bidi="ar-SA"/>
        </w:rPr>
      </w:pPr>
      <w:r>
        <w:rPr>
          <w:rFonts w:hint="eastAsia" w:ascii="宋体" w:hAnsi="宋体" w:eastAsia="宋体" w:cs="宋体"/>
          <w:b/>
          <w:bCs/>
          <w:spacing w:val="6"/>
          <w:kern w:val="0"/>
          <w:szCs w:val="21"/>
        </w:rPr>
        <w:br w:type="page"/>
      </w:r>
    </w:p>
    <w:p w14:paraId="217C1245">
      <w:pPr>
        <w:adjustRightInd w:val="0"/>
        <w:snapToGrid w:val="0"/>
        <w:spacing w:line="360" w:lineRule="auto"/>
        <w:jc w:val="center"/>
        <w:outlineLvl w:val="2"/>
        <w:rPr>
          <w:rFonts w:ascii="Times New Roman" w:hAnsi="Times New Roman" w:eastAsia="宋体" w:cs="Times New Roman"/>
        </w:rPr>
      </w:pPr>
    </w:p>
    <w:p w14:paraId="2FD59C43">
      <w:pPr>
        <w:adjustRightInd w:val="0"/>
        <w:snapToGrid w:val="0"/>
        <w:spacing w:line="360" w:lineRule="auto"/>
        <w:jc w:val="center"/>
        <w:outlineLvl w:val="2"/>
        <w:rPr>
          <w:rFonts w:hint="eastAsia" w:ascii="宋体" w:hAnsi="宋体" w:eastAsia="黑体" w:cs="宋体"/>
          <w:b/>
          <w:bCs/>
          <w:sz w:val="28"/>
          <w:szCs w:val="28"/>
        </w:rPr>
      </w:pPr>
      <w:bookmarkStart w:id="179" w:name="OLE_LINK154"/>
      <w:bookmarkStart w:id="180" w:name="OLE_LINK220"/>
      <w:bookmarkStart w:id="181" w:name="OLE_LINK155"/>
      <w:r>
        <w:rPr>
          <w:rFonts w:hint="eastAsia" w:ascii="宋体" w:hAnsi="宋体" w:eastAsia="黑体" w:cs="宋体"/>
          <w:b/>
          <w:bCs/>
          <w:sz w:val="28"/>
          <w:szCs w:val="28"/>
          <w:lang w:val="en-US" w:eastAsia="zh-CN"/>
        </w:rPr>
        <w:t>七</w:t>
      </w:r>
      <w:r>
        <w:rPr>
          <w:rFonts w:hint="eastAsia" w:ascii="宋体" w:hAnsi="宋体" w:eastAsia="黑体" w:cs="宋体"/>
          <w:b/>
          <w:bCs/>
          <w:sz w:val="28"/>
          <w:szCs w:val="28"/>
        </w:rPr>
        <w:t>、售后服务</w:t>
      </w:r>
    </w:p>
    <w:bookmarkEnd w:id="179"/>
    <w:p w14:paraId="30D87CD9">
      <w:pPr>
        <w:adjustRightInd w:val="0"/>
        <w:snapToGrid w:val="0"/>
        <w:spacing w:before="161" w:beforeLines="50" w:line="360" w:lineRule="auto"/>
        <w:ind w:firstLine="420" w:firstLineChars="200"/>
        <w:rPr>
          <w:rFonts w:hint="eastAsia" w:ascii="宋体" w:hAnsi="宋体" w:eastAsia="宋体" w:cs="宋体"/>
        </w:rPr>
      </w:pPr>
      <w:r>
        <w:rPr>
          <w:rFonts w:hint="eastAsia" w:ascii="宋体" w:hAnsi="宋体" w:eastAsia="宋体" w:cs="宋体"/>
        </w:rPr>
        <w:t>备注：</w:t>
      </w:r>
      <w:r>
        <w:rPr>
          <w:rFonts w:hint="eastAsia" w:ascii="宋体" w:hAnsi="宋体" w:eastAsia="宋体" w:cs="宋体"/>
          <w:lang w:val="en-US" w:eastAsia="zh-CN"/>
        </w:rPr>
        <w:t>根据</w:t>
      </w:r>
      <w:r>
        <w:rPr>
          <w:rFonts w:hint="eastAsia" w:ascii="宋体" w:hAnsi="宋体" w:eastAsia="宋体" w:cs="宋体"/>
        </w:rPr>
        <w:t>本项目招标文件采购需求及评标方法自行编辑。</w:t>
      </w:r>
      <w:bookmarkEnd w:id="180"/>
    </w:p>
    <w:bookmarkEnd w:id="181"/>
    <w:p w14:paraId="7C3A67BF">
      <w:pPr>
        <w:adjustRightInd w:val="0"/>
        <w:snapToGrid w:val="0"/>
        <w:spacing w:before="161" w:beforeLines="50" w:line="360" w:lineRule="auto"/>
        <w:ind w:firstLine="420" w:firstLineChars="200"/>
        <w:rPr>
          <w:rFonts w:hint="eastAsia" w:ascii="宋体" w:hAnsi="宋体" w:eastAsia="宋体" w:cs="宋体"/>
        </w:rPr>
      </w:pPr>
    </w:p>
    <w:p w14:paraId="61CE58EC">
      <w:pPr>
        <w:rPr>
          <w:rFonts w:hint="eastAsia" w:ascii="宋体" w:hAnsi="宋体" w:eastAsia="黑体" w:cs="宋体"/>
          <w:b/>
          <w:bCs/>
          <w:sz w:val="28"/>
          <w:szCs w:val="28"/>
        </w:rPr>
      </w:pPr>
      <w:r>
        <w:rPr>
          <w:rFonts w:hint="eastAsia" w:ascii="宋体" w:hAnsi="宋体" w:eastAsia="黑体" w:cs="宋体"/>
          <w:b/>
          <w:bCs/>
          <w:sz w:val="28"/>
          <w:szCs w:val="28"/>
        </w:rPr>
        <w:br w:type="page"/>
      </w:r>
    </w:p>
    <w:p w14:paraId="4436339F">
      <w:pPr>
        <w:adjustRightInd w:val="0"/>
        <w:snapToGrid w:val="0"/>
        <w:spacing w:line="360" w:lineRule="auto"/>
        <w:jc w:val="center"/>
        <w:outlineLvl w:val="2"/>
        <w:rPr>
          <w:rFonts w:hint="eastAsia" w:ascii="宋体" w:hAnsi="宋体" w:eastAsia="黑体" w:cs="宋体"/>
          <w:b/>
          <w:bCs/>
          <w:sz w:val="28"/>
          <w:szCs w:val="28"/>
        </w:rPr>
      </w:pPr>
      <w:bookmarkStart w:id="182" w:name="OLE_LINK222"/>
      <w:bookmarkStart w:id="183" w:name="OLE_LINK157"/>
      <w:r>
        <w:rPr>
          <w:rFonts w:hint="eastAsia" w:ascii="宋体" w:hAnsi="宋体" w:eastAsia="黑体" w:cs="宋体"/>
          <w:b/>
          <w:bCs/>
          <w:sz w:val="28"/>
          <w:szCs w:val="28"/>
          <w:lang w:val="en-US" w:eastAsia="zh-CN"/>
        </w:rPr>
        <w:t>八</w:t>
      </w:r>
      <w:r>
        <w:rPr>
          <w:rFonts w:hint="eastAsia" w:ascii="宋体" w:hAnsi="宋体" w:eastAsia="黑体" w:cs="宋体"/>
          <w:b/>
          <w:bCs/>
          <w:sz w:val="28"/>
          <w:szCs w:val="28"/>
        </w:rPr>
        <w:t>、类似经验</w:t>
      </w:r>
    </w:p>
    <w:p w14:paraId="6E672517">
      <w:pPr>
        <w:adjustRightInd w:val="0"/>
        <w:snapToGrid w:val="0"/>
        <w:spacing w:before="161" w:beforeLines="50" w:line="360" w:lineRule="auto"/>
        <w:rPr>
          <w:rFonts w:hint="eastAsia" w:ascii="宋体" w:hAnsi="宋体" w:eastAsia="宋体" w:cs="宋体"/>
        </w:rPr>
      </w:pPr>
    </w:p>
    <w:tbl>
      <w:tblPr>
        <w:tblStyle w:val="2"/>
        <w:tblW w:w="941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28"/>
        <w:gridCol w:w="1978"/>
        <w:gridCol w:w="2301"/>
        <w:gridCol w:w="1877"/>
        <w:gridCol w:w="1934"/>
      </w:tblGrid>
      <w:tr w14:paraId="5B7FC2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blHeader/>
          <w:jc w:val="center"/>
        </w:trPr>
        <w:tc>
          <w:tcPr>
            <w:tcW w:w="1328" w:type="dxa"/>
            <w:vAlign w:val="center"/>
          </w:tcPr>
          <w:p w14:paraId="0606C464">
            <w:pPr>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rPr>
              <w:t>序号</w:t>
            </w:r>
          </w:p>
        </w:tc>
        <w:tc>
          <w:tcPr>
            <w:tcW w:w="1978" w:type="dxa"/>
            <w:vAlign w:val="center"/>
          </w:tcPr>
          <w:p w14:paraId="4CA8EC7F">
            <w:pPr>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rPr>
              <w:t>项目名称</w:t>
            </w:r>
          </w:p>
        </w:tc>
        <w:tc>
          <w:tcPr>
            <w:tcW w:w="2301" w:type="dxa"/>
            <w:vAlign w:val="center"/>
          </w:tcPr>
          <w:p w14:paraId="07859882">
            <w:pPr>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rPr>
              <w:t>合同内容</w:t>
            </w:r>
          </w:p>
        </w:tc>
        <w:tc>
          <w:tcPr>
            <w:tcW w:w="1877" w:type="dxa"/>
            <w:vAlign w:val="center"/>
          </w:tcPr>
          <w:p w14:paraId="2B387AEF">
            <w:pPr>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rPr>
              <w:t>签约日期</w:t>
            </w:r>
          </w:p>
        </w:tc>
        <w:tc>
          <w:tcPr>
            <w:tcW w:w="1934" w:type="dxa"/>
            <w:vAlign w:val="center"/>
          </w:tcPr>
          <w:p w14:paraId="30D0F625">
            <w:pPr>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rPr>
              <w:t>用户联系人及电话</w:t>
            </w:r>
          </w:p>
        </w:tc>
      </w:tr>
      <w:tr w14:paraId="65B999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328" w:type="dxa"/>
            <w:vAlign w:val="center"/>
          </w:tcPr>
          <w:p w14:paraId="4F5C73DD">
            <w:pPr>
              <w:widowControl/>
              <w:spacing w:line="500" w:lineRule="exact"/>
              <w:jc w:val="center"/>
              <w:rPr>
                <w:rFonts w:hint="eastAsia" w:ascii="宋体" w:hAnsi="宋体" w:eastAsia="宋体" w:cs="宋体"/>
                <w:kern w:val="0"/>
                <w:szCs w:val="21"/>
              </w:rPr>
            </w:pPr>
          </w:p>
        </w:tc>
        <w:tc>
          <w:tcPr>
            <w:tcW w:w="1978" w:type="dxa"/>
            <w:vAlign w:val="center"/>
          </w:tcPr>
          <w:p w14:paraId="28D5B948">
            <w:pPr>
              <w:widowControl/>
              <w:spacing w:line="500" w:lineRule="exact"/>
              <w:jc w:val="center"/>
              <w:rPr>
                <w:rFonts w:hint="eastAsia" w:ascii="宋体" w:hAnsi="宋体" w:eastAsia="宋体" w:cs="宋体"/>
                <w:kern w:val="0"/>
                <w:szCs w:val="21"/>
              </w:rPr>
            </w:pPr>
          </w:p>
        </w:tc>
        <w:tc>
          <w:tcPr>
            <w:tcW w:w="2301" w:type="dxa"/>
            <w:vAlign w:val="center"/>
          </w:tcPr>
          <w:p w14:paraId="2A31CA63">
            <w:pPr>
              <w:widowControl/>
              <w:spacing w:line="500" w:lineRule="exact"/>
              <w:jc w:val="center"/>
              <w:rPr>
                <w:rFonts w:hint="eastAsia" w:ascii="宋体" w:hAnsi="宋体" w:eastAsia="宋体" w:cs="宋体"/>
                <w:kern w:val="0"/>
                <w:szCs w:val="21"/>
              </w:rPr>
            </w:pPr>
          </w:p>
        </w:tc>
        <w:tc>
          <w:tcPr>
            <w:tcW w:w="1877" w:type="dxa"/>
            <w:vAlign w:val="center"/>
          </w:tcPr>
          <w:p w14:paraId="532DF987">
            <w:pPr>
              <w:widowControl/>
              <w:spacing w:line="500" w:lineRule="exact"/>
              <w:jc w:val="center"/>
              <w:rPr>
                <w:rFonts w:hint="eastAsia" w:ascii="宋体" w:hAnsi="宋体" w:eastAsia="宋体" w:cs="宋体"/>
                <w:kern w:val="0"/>
                <w:szCs w:val="21"/>
              </w:rPr>
            </w:pPr>
          </w:p>
        </w:tc>
        <w:tc>
          <w:tcPr>
            <w:tcW w:w="1934" w:type="dxa"/>
            <w:vAlign w:val="center"/>
          </w:tcPr>
          <w:p w14:paraId="25CA8769">
            <w:pPr>
              <w:widowControl/>
              <w:spacing w:line="500" w:lineRule="exact"/>
              <w:jc w:val="center"/>
              <w:rPr>
                <w:rFonts w:hint="eastAsia" w:ascii="宋体" w:hAnsi="宋体" w:eastAsia="宋体" w:cs="宋体"/>
                <w:kern w:val="0"/>
                <w:szCs w:val="21"/>
              </w:rPr>
            </w:pPr>
          </w:p>
        </w:tc>
      </w:tr>
      <w:tr w14:paraId="6A17D0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328" w:type="dxa"/>
            <w:vAlign w:val="center"/>
          </w:tcPr>
          <w:p w14:paraId="1C3102EE">
            <w:pPr>
              <w:widowControl/>
              <w:spacing w:line="500" w:lineRule="exact"/>
              <w:jc w:val="center"/>
              <w:rPr>
                <w:rFonts w:hint="eastAsia" w:ascii="宋体" w:hAnsi="宋体" w:eastAsia="宋体" w:cs="宋体"/>
                <w:kern w:val="0"/>
                <w:szCs w:val="21"/>
              </w:rPr>
            </w:pPr>
          </w:p>
        </w:tc>
        <w:tc>
          <w:tcPr>
            <w:tcW w:w="1978" w:type="dxa"/>
            <w:vAlign w:val="center"/>
          </w:tcPr>
          <w:p w14:paraId="1F4A2653">
            <w:pPr>
              <w:widowControl/>
              <w:spacing w:line="500" w:lineRule="exact"/>
              <w:jc w:val="center"/>
              <w:rPr>
                <w:rFonts w:hint="eastAsia" w:ascii="宋体" w:hAnsi="宋体" w:eastAsia="宋体" w:cs="宋体"/>
                <w:kern w:val="0"/>
                <w:szCs w:val="21"/>
              </w:rPr>
            </w:pPr>
          </w:p>
        </w:tc>
        <w:tc>
          <w:tcPr>
            <w:tcW w:w="2301" w:type="dxa"/>
            <w:vAlign w:val="center"/>
          </w:tcPr>
          <w:p w14:paraId="7AAD0B07">
            <w:pPr>
              <w:widowControl/>
              <w:spacing w:line="500" w:lineRule="exact"/>
              <w:jc w:val="center"/>
              <w:rPr>
                <w:rFonts w:hint="eastAsia" w:ascii="宋体" w:hAnsi="宋体" w:eastAsia="宋体" w:cs="宋体"/>
                <w:kern w:val="0"/>
                <w:szCs w:val="21"/>
              </w:rPr>
            </w:pPr>
          </w:p>
        </w:tc>
        <w:tc>
          <w:tcPr>
            <w:tcW w:w="1877" w:type="dxa"/>
            <w:vAlign w:val="center"/>
          </w:tcPr>
          <w:p w14:paraId="5B8CF351">
            <w:pPr>
              <w:widowControl/>
              <w:spacing w:line="500" w:lineRule="exact"/>
              <w:jc w:val="center"/>
              <w:rPr>
                <w:rFonts w:hint="eastAsia" w:ascii="宋体" w:hAnsi="宋体" w:eastAsia="宋体" w:cs="宋体"/>
                <w:kern w:val="0"/>
                <w:szCs w:val="21"/>
              </w:rPr>
            </w:pPr>
          </w:p>
        </w:tc>
        <w:tc>
          <w:tcPr>
            <w:tcW w:w="1934" w:type="dxa"/>
            <w:vAlign w:val="center"/>
          </w:tcPr>
          <w:p w14:paraId="495F5A4B">
            <w:pPr>
              <w:widowControl/>
              <w:spacing w:line="500" w:lineRule="exact"/>
              <w:jc w:val="center"/>
              <w:rPr>
                <w:rFonts w:hint="eastAsia" w:ascii="宋体" w:hAnsi="宋体" w:eastAsia="宋体" w:cs="宋体"/>
                <w:kern w:val="0"/>
                <w:szCs w:val="21"/>
              </w:rPr>
            </w:pPr>
          </w:p>
        </w:tc>
      </w:tr>
      <w:tr w14:paraId="6D18DB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328" w:type="dxa"/>
            <w:vAlign w:val="center"/>
          </w:tcPr>
          <w:p w14:paraId="2EA0F61F">
            <w:pPr>
              <w:widowControl/>
              <w:spacing w:line="500" w:lineRule="exact"/>
              <w:jc w:val="center"/>
              <w:rPr>
                <w:rFonts w:hint="eastAsia" w:ascii="宋体" w:hAnsi="宋体" w:eastAsia="宋体" w:cs="宋体"/>
                <w:kern w:val="0"/>
                <w:szCs w:val="21"/>
              </w:rPr>
            </w:pPr>
          </w:p>
        </w:tc>
        <w:tc>
          <w:tcPr>
            <w:tcW w:w="1978" w:type="dxa"/>
            <w:vAlign w:val="center"/>
          </w:tcPr>
          <w:p w14:paraId="700ECC8A">
            <w:pPr>
              <w:widowControl/>
              <w:spacing w:line="500" w:lineRule="exact"/>
              <w:jc w:val="center"/>
              <w:rPr>
                <w:rFonts w:hint="eastAsia" w:ascii="宋体" w:hAnsi="宋体" w:eastAsia="宋体" w:cs="宋体"/>
                <w:kern w:val="0"/>
                <w:szCs w:val="21"/>
              </w:rPr>
            </w:pPr>
          </w:p>
        </w:tc>
        <w:tc>
          <w:tcPr>
            <w:tcW w:w="2301" w:type="dxa"/>
            <w:vAlign w:val="center"/>
          </w:tcPr>
          <w:p w14:paraId="02C9BCB4">
            <w:pPr>
              <w:widowControl/>
              <w:spacing w:line="500" w:lineRule="exact"/>
              <w:jc w:val="center"/>
              <w:rPr>
                <w:rFonts w:hint="eastAsia" w:ascii="宋体" w:hAnsi="宋体" w:eastAsia="宋体" w:cs="宋体"/>
                <w:kern w:val="0"/>
                <w:szCs w:val="21"/>
              </w:rPr>
            </w:pPr>
          </w:p>
        </w:tc>
        <w:tc>
          <w:tcPr>
            <w:tcW w:w="1877" w:type="dxa"/>
            <w:vAlign w:val="center"/>
          </w:tcPr>
          <w:p w14:paraId="1058EE88">
            <w:pPr>
              <w:widowControl/>
              <w:spacing w:line="500" w:lineRule="exact"/>
              <w:jc w:val="center"/>
              <w:rPr>
                <w:rFonts w:hint="eastAsia" w:ascii="宋体" w:hAnsi="宋体" w:eastAsia="宋体" w:cs="宋体"/>
                <w:kern w:val="0"/>
                <w:szCs w:val="21"/>
              </w:rPr>
            </w:pPr>
          </w:p>
        </w:tc>
        <w:tc>
          <w:tcPr>
            <w:tcW w:w="1934" w:type="dxa"/>
            <w:vAlign w:val="center"/>
          </w:tcPr>
          <w:p w14:paraId="3EC3802C">
            <w:pPr>
              <w:widowControl/>
              <w:spacing w:line="500" w:lineRule="exact"/>
              <w:jc w:val="center"/>
              <w:rPr>
                <w:rFonts w:hint="eastAsia" w:ascii="宋体" w:hAnsi="宋体" w:eastAsia="宋体" w:cs="宋体"/>
                <w:kern w:val="0"/>
                <w:szCs w:val="21"/>
              </w:rPr>
            </w:pPr>
          </w:p>
        </w:tc>
      </w:tr>
      <w:tr w14:paraId="30E44E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328" w:type="dxa"/>
            <w:vAlign w:val="center"/>
          </w:tcPr>
          <w:p w14:paraId="6DA0C440">
            <w:pPr>
              <w:widowControl/>
              <w:spacing w:line="500" w:lineRule="exact"/>
              <w:jc w:val="center"/>
              <w:rPr>
                <w:rFonts w:hint="eastAsia" w:ascii="宋体" w:hAnsi="宋体" w:eastAsia="宋体" w:cs="宋体"/>
                <w:kern w:val="0"/>
                <w:szCs w:val="21"/>
              </w:rPr>
            </w:pPr>
          </w:p>
        </w:tc>
        <w:tc>
          <w:tcPr>
            <w:tcW w:w="1978" w:type="dxa"/>
            <w:vAlign w:val="center"/>
          </w:tcPr>
          <w:p w14:paraId="4B95B187">
            <w:pPr>
              <w:widowControl/>
              <w:spacing w:line="500" w:lineRule="exact"/>
              <w:jc w:val="center"/>
              <w:rPr>
                <w:rFonts w:hint="eastAsia" w:ascii="宋体" w:hAnsi="宋体" w:eastAsia="宋体" w:cs="宋体"/>
                <w:kern w:val="0"/>
                <w:szCs w:val="21"/>
              </w:rPr>
            </w:pPr>
          </w:p>
        </w:tc>
        <w:tc>
          <w:tcPr>
            <w:tcW w:w="2301" w:type="dxa"/>
            <w:vAlign w:val="center"/>
          </w:tcPr>
          <w:p w14:paraId="48C85FA2">
            <w:pPr>
              <w:widowControl/>
              <w:spacing w:line="500" w:lineRule="exact"/>
              <w:jc w:val="center"/>
              <w:rPr>
                <w:rFonts w:hint="eastAsia" w:ascii="宋体" w:hAnsi="宋体" w:eastAsia="宋体" w:cs="宋体"/>
                <w:kern w:val="0"/>
                <w:szCs w:val="21"/>
              </w:rPr>
            </w:pPr>
          </w:p>
        </w:tc>
        <w:tc>
          <w:tcPr>
            <w:tcW w:w="1877" w:type="dxa"/>
            <w:vAlign w:val="center"/>
          </w:tcPr>
          <w:p w14:paraId="4A09B0A7">
            <w:pPr>
              <w:widowControl/>
              <w:spacing w:line="500" w:lineRule="exact"/>
              <w:jc w:val="center"/>
              <w:rPr>
                <w:rFonts w:hint="eastAsia" w:ascii="宋体" w:hAnsi="宋体" w:eastAsia="宋体" w:cs="宋体"/>
                <w:kern w:val="0"/>
                <w:szCs w:val="21"/>
              </w:rPr>
            </w:pPr>
          </w:p>
        </w:tc>
        <w:tc>
          <w:tcPr>
            <w:tcW w:w="1934" w:type="dxa"/>
            <w:vAlign w:val="center"/>
          </w:tcPr>
          <w:p w14:paraId="70CAD899">
            <w:pPr>
              <w:widowControl/>
              <w:spacing w:line="500" w:lineRule="exact"/>
              <w:jc w:val="center"/>
              <w:rPr>
                <w:rFonts w:hint="eastAsia" w:ascii="宋体" w:hAnsi="宋体" w:eastAsia="宋体" w:cs="宋体"/>
                <w:kern w:val="0"/>
                <w:szCs w:val="21"/>
              </w:rPr>
            </w:pPr>
          </w:p>
        </w:tc>
      </w:tr>
      <w:tr w14:paraId="7F54DF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328" w:type="dxa"/>
            <w:vAlign w:val="center"/>
          </w:tcPr>
          <w:p w14:paraId="41B4E949">
            <w:pPr>
              <w:widowControl/>
              <w:spacing w:line="500" w:lineRule="exact"/>
              <w:jc w:val="center"/>
              <w:rPr>
                <w:rFonts w:hint="eastAsia" w:ascii="宋体" w:hAnsi="宋体" w:eastAsia="宋体" w:cs="宋体"/>
                <w:kern w:val="0"/>
                <w:szCs w:val="21"/>
              </w:rPr>
            </w:pPr>
          </w:p>
        </w:tc>
        <w:tc>
          <w:tcPr>
            <w:tcW w:w="1978" w:type="dxa"/>
            <w:vAlign w:val="center"/>
          </w:tcPr>
          <w:p w14:paraId="546673C7">
            <w:pPr>
              <w:widowControl/>
              <w:spacing w:line="500" w:lineRule="exact"/>
              <w:jc w:val="center"/>
              <w:rPr>
                <w:rFonts w:hint="eastAsia" w:ascii="宋体" w:hAnsi="宋体" w:eastAsia="宋体" w:cs="宋体"/>
                <w:kern w:val="0"/>
                <w:szCs w:val="21"/>
              </w:rPr>
            </w:pPr>
          </w:p>
        </w:tc>
        <w:tc>
          <w:tcPr>
            <w:tcW w:w="2301" w:type="dxa"/>
            <w:vAlign w:val="center"/>
          </w:tcPr>
          <w:p w14:paraId="79748676">
            <w:pPr>
              <w:widowControl/>
              <w:spacing w:line="500" w:lineRule="exact"/>
              <w:jc w:val="center"/>
              <w:rPr>
                <w:rFonts w:hint="eastAsia" w:ascii="宋体" w:hAnsi="宋体" w:eastAsia="宋体" w:cs="宋体"/>
                <w:kern w:val="0"/>
                <w:szCs w:val="21"/>
              </w:rPr>
            </w:pPr>
          </w:p>
        </w:tc>
        <w:tc>
          <w:tcPr>
            <w:tcW w:w="1877" w:type="dxa"/>
            <w:vAlign w:val="center"/>
          </w:tcPr>
          <w:p w14:paraId="06574FA9">
            <w:pPr>
              <w:widowControl/>
              <w:spacing w:line="500" w:lineRule="exact"/>
              <w:jc w:val="center"/>
              <w:rPr>
                <w:rFonts w:hint="eastAsia" w:ascii="宋体" w:hAnsi="宋体" w:eastAsia="宋体" w:cs="宋体"/>
                <w:kern w:val="0"/>
                <w:szCs w:val="21"/>
              </w:rPr>
            </w:pPr>
          </w:p>
        </w:tc>
        <w:tc>
          <w:tcPr>
            <w:tcW w:w="1934" w:type="dxa"/>
            <w:vAlign w:val="center"/>
          </w:tcPr>
          <w:p w14:paraId="5E97C45C">
            <w:pPr>
              <w:widowControl/>
              <w:spacing w:line="500" w:lineRule="exact"/>
              <w:jc w:val="center"/>
              <w:rPr>
                <w:rFonts w:hint="eastAsia" w:ascii="宋体" w:hAnsi="宋体" w:eastAsia="宋体" w:cs="宋体"/>
                <w:kern w:val="0"/>
                <w:szCs w:val="21"/>
              </w:rPr>
            </w:pPr>
          </w:p>
        </w:tc>
      </w:tr>
    </w:tbl>
    <w:p w14:paraId="761208A7">
      <w:pPr>
        <w:jc w:val="left"/>
        <w:rPr>
          <w:rFonts w:hint="eastAsia" w:ascii="宋体" w:hAnsi="宋体" w:eastAsia="宋体" w:cs="新宋体"/>
          <w:kern w:val="0"/>
          <w:sz w:val="18"/>
          <w:szCs w:val="18"/>
        </w:rPr>
      </w:pPr>
    </w:p>
    <w:bookmarkEnd w:id="182"/>
    <w:bookmarkEnd w:id="183"/>
    <w:p w14:paraId="2CE2F16B">
      <w:pPr>
        <w:rPr>
          <w:rFonts w:hint="eastAsia" w:ascii="宋体" w:hAnsi="宋体" w:eastAsia="黑体" w:cs="宋体"/>
          <w:b/>
          <w:bCs/>
          <w:sz w:val="28"/>
          <w:szCs w:val="28"/>
        </w:rPr>
      </w:pPr>
      <w:bookmarkStart w:id="184" w:name="OLE_LINK223"/>
      <w:bookmarkStart w:id="185" w:name="OLE_LINK158"/>
      <w:r>
        <w:rPr>
          <w:rFonts w:hint="eastAsia" w:ascii="宋体" w:hAnsi="宋体" w:eastAsia="黑体" w:cs="宋体"/>
          <w:b/>
          <w:bCs/>
          <w:sz w:val="28"/>
          <w:szCs w:val="28"/>
        </w:rPr>
        <w:br w:type="page"/>
      </w:r>
    </w:p>
    <w:p w14:paraId="7DE59C92">
      <w:pPr>
        <w:adjustRightInd w:val="0"/>
        <w:snapToGrid w:val="0"/>
        <w:spacing w:before="161" w:beforeLines="50" w:line="360" w:lineRule="auto"/>
        <w:ind w:firstLine="562" w:firstLineChars="200"/>
        <w:jc w:val="center"/>
        <w:rPr>
          <w:rFonts w:hint="eastAsia" w:ascii="宋体" w:hAnsi="宋体" w:eastAsia="黑体" w:cs="宋体"/>
          <w:b/>
          <w:bCs/>
          <w:sz w:val="28"/>
          <w:szCs w:val="28"/>
        </w:rPr>
      </w:pPr>
      <w:bookmarkStart w:id="186" w:name="OLE_LINK221"/>
      <w:bookmarkStart w:id="187" w:name="OLE_LINK156"/>
      <w:r>
        <w:rPr>
          <w:rFonts w:hint="eastAsia" w:ascii="宋体" w:hAnsi="宋体" w:eastAsia="黑体" w:cs="宋体"/>
          <w:b/>
          <w:bCs/>
          <w:sz w:val="28"/>
          <w:szCs w:val="28"/>
          <w:lang w:val="en-US" w:eastAsia="zh-CN"/>
        </w:rPr>
        <w:t>九</w:t>
      </w:r>
      <w:r>
        <w:rPr>
          <w:rFonts w:hint="eastAsia" w:ascii="宋体" w:hAnsi="宋体" w:eastAsia="黑体" w:cs="宋体"/>
          <w:b/>
          <w:bCs/>
          <w:sz w:val="28"/>
          <w:szCs w:val="28"/>
        </w:rPr>
        <w:t>、质保承诺</w:t>
      </w:r>
    </w:p>
    <w:p w14:paraId="2D17C58B">
      <w:pPr>
        <w:adjustRightInd w:val="0"/>
        <w:snapToGrid w:val="0"/>
        <w:spacing w:before="161" w:beforeLines="50" w:line="360" w:lineRule="auto"/>
        <w:ind w:firstLine="420" w:firstLineChars="200"/>
        <w:rPr>
          <w:rFonts w:hint="eastAsia" w:ascii="宋体" w:hAnsi="宋体" w:eastAsia="宋体" w:cs="宋体"/>
        </w:rPr>
      </w:pPr>
      <w:r>
        <w:rPr>
          <w:rFonts w:hint="eastAsia" w:ascii="宋体" w:hAnsi="宋体" w:eastAsia="宋体" w:cs="宋体"/>
        </w:rPr>
        <w:t>备注：提供承诺函并加盖投标人公章，格式自拟。</w:t>
      </w:r>
      <w:bookmarkEnd w:id="186"/>
    </w:p>
    <w:bookmarkEnd w:id="187"/>
    <w:p w14:paraId="5F113B08">
      <w:pPr>
        <w:rPr>
          <w:rFonts w:hint="eastAsia" w:ascii="宋体" w:hAnsi="宋体" w:eastAsia="黑体" w:cs="宋体"/>
          <w:b/>
          <w:bCs/>
          <w:sz w:val="28"/>
          <w:szCs w:val="28"/>
        </w:rPr>
      </w:pPr>
    </w:p>
    <w:p w14:paraId="79AA3A13">
      <w:pPr>
        <w:rPr>
          <w:rFonts w:hint="eastAsia" w:ascii="宋体" w:hAnsi="宋体" w:eastAsia="黑体" w:cs="宋体"/>
          <w:b/>
          <w:bCs/>
          <w:sz w:val="28"/>
          <w:szCs w:val="28"/>
        </w:rPr>
      </w:pPr>
      <w:r>
        <w:rPr>
          <w:rFonts w:hint="eastAsia" w:ascii="宋体" w:hAnsi="宋体" w:eastAsia="黑体" w:cs="宋体"/>
          <w:b/>
          <w:bCs/>
          <w:sz w:val="28"/>
          <w:szCs w:val="28"/>
        </w:rPr>
        <w:br w:type="page"/>
      </w:r>
    </w:p>
    <w:p w14:paraId="19546E5D">
      <w:pPr>
        <w:adjustRightInd w:val="0"/>
        <w:snapToGrid w:val="0"/>
        <w:spacing w:line="360" w:lineRule="auto"/>
        <w:jc w:val="center"/>
        <w:outlineLvl w:val="2"/>
        <w:rPr>
          <w:rFonts w:hint="eastAsia" w:ascii="宋体" w:hAnsi="宋体" w:eastAsia="黑体" w:cs="宋体"/>
          <w:b/>
          <w:bCs/>
          <w:sz w:val="28"/>
          <w:szCs w:val="28"/>
        </w:rPr>
      </w:pPr>
      <w:r>
        <w:rPr>
          <w:rFonts w:hint="eastAsia" w:ascii="宋体" w:hAnsi="宋体" w:eastAsia="黑体" w:cs="宋体"/>
          <w:b/>
          <w:bCs/>
          <w:sz w:val="28"/>
          <w:szCs w:val="28"/>
        </w:rPr>
        <w:t>十、投标人认为需提供的其他资料</w:t>
      </w:r>
      <w:bookmarkEnd w:id="184"/>
    </w:p>
    <w:bookmarkEnd w:id="185"/>
    <w:p w14:paraId="571AAD1E">
      <w:pPr>
        <w:adjustRightInd w:val="0"/>
        <w:snapToGrid w:val="0"/>
        <w:spacing w:before="161" w:beforeLines="50" w:line="360" w:lineRule="auto"/>
        <w:ind w:firstLine="422" w:firstLineChars="200"/>
        <w:rPr>
          <w:rFonts w:ascii="Times New Roman" w:hAnsi="Times New Roman" w:eastAsia="宋体" w:cs="Times New Roman"/>
          <w:b/>
          <w:bCs/>
          <w:highlight w:val="yellow"/>
        </w:rPr>
      </w:pPr>
    </w:p>
    <w:p w14:paraId="35702EBE">
      <w:pPr>
        <w:adjustRightInd w:val="0"/>
        <w:snapToGrid w:val="0"/>
        <w:spacing w:before="161" w:beforeLines="50" w:line="360" w:lineRule="auto"/>
        <w:ind w:firstLine="422" w:firstLineChars="200"/>
        <w:rPr>
          <w:rFonts w:hint="eastAsia" w:ascii="宋体" w:hAnsi="宋体" w:eastAsia="宋体" w:cs="Times New Roman"/>
          <w:b/>
          <w:bCs/>
          <w:szCs w:val="21"/>
        </w:rPr>
      </w:pPr>
    </w:p>
    <w:p w14:paraId="2BBDF682">
      <w:pPr>
        <w:adjustRightInd w:val="0"/>
        <w:snapToGrid w:val="0"/>
        <w:spacing w:before="161" w:beforeLines="50" w:line="360" w:lineRule="auto"/>
        <w:ind w:firstLine="420" w:firstLineChars="200"/>
        <w:rPr>
          <w:rFonts w:hint="eastAsia" w:ascii="宋体" w:hAnsi="宋体" w:eastAsia="宋体" w:cs="宋体"/>
        </w:rPr>
      </w:pPr>
      <w:r>
        <w:rPr>
          <w:rFonts w:hint="eastAsia" w:ascii="宋体" w:hAnsi="宋体" w:eastAsia="宋体" w:cs="宋体"/>
          <w:szCs w:val="21"/>
        </w:rPr>
        <w:br w:type="page"/>
      </w:r>
    </w:p>
    <w:p w14:paraId="31A697A5">
      <w:pPr>
        <w:adjustRightInd w:val="0"/>
        <w:snapToGrid w:val="0"/>
        <w:spacing w:line="360" w:lineRule="auto"/>
        <w:jc w:val="center"/>
        <w:rPr>
          <w:rFonts w:hint="eastAsia" w:ascii="宋体" w:hAnsi="宋体" w:eastAsia="宋体" w:cs="宋体"/>
          <w:bCs/>
          <w:sz w:val="72"/>
          <w:szCs w:val="72"/>
        </w:rPr>
      </w:pPr>
      <w:bookmarkStart w:id="188" w:name="OLE_LINK159"/>
    </w:p>
    <w:p w14:paraId="5F14542E">
      <w:pPr>
        <w:adjustRightInd w:val="0"/>
        <w:snapToGrid w:val="0"/>
        <w:spacing w:line="360" w:lineRule="auto"/>
        <w:jc w:val="center"/>
        <w:rPr>
          <w:rFonts w:hint="eastAsia" w:ascii="宋体" w:hAnsi="宋体" w:eastAsia="宋体" w:cs="宋体"/>
          <w:bCs/>
          <w:sz w:val="72"/>
          <w:szCs w:val="72"/>
        </w:rPr>
      </w:pPr>
      <w:r>
        <w:rPr>
          <w:rFonts w:hint="eastAsia" w:ascii="宋体" w:hAnsi="宋体" w:eastAsia="宋体" w:cs="宋体"/>
          <w:bCs/>
          <w:sz w:val="72"/>
          <w:szCs w:val="72"/>
        </w:rPr>
        <w:t>政府采购</w:t>
      </w:r>
    </w:p>
    <w:p w14:paraId="29EE4E3E">
      <w:pPr>
        <w:adjustRightInd w:val="0"/>
        <w:snapToGrid w:val="0"/>
        <w:spacing w:line="360" w:lineRule="auto"/>
        <w:jc w:val="center"/>
        <w:rPr>
          <w:rFonts w:hint="eastAsia" w:ascii="宋体" w:hAnsi="宋体" w:eastAsia="宋体" w:cs="宋体"/>
          <w:b/>
          <w:bCs/>
          <w:sz w:val="84"/>
          <w:szCs w:val="84"/>
        </w:rPr>
      </w:pPr>
      <w:r>
        <w:rPr>
          <w:rFonts w:hint="eastAsia" w:ascii="宋体" w:hAnsi="宋体" w:eastAsia="宋体" w:cs="宋体"/>
          <w:b/>
          <w:bCs/>
          <w:sz w:val="84"/>
          <w:szCs w:val="84"/>
        </w:rPr>
        <w:t>投 标 文 件</w:t>
      </w:r>
    </w:p>
    <w:p w14:paraId="363C58B8">
      <w:pPr>
        <w:keepNext/>
        <w:keepLines/>
        <w:adjustRightInd w:val="0"/>
        <w:snapToGrid w:val="0"/>
        <w:spacing w:line="360" w:lineRule="auto"/>
        <w:jc w:val="center"/>
        <w:outlineLvl w:val="1"/>
        <w:rPr>
          <w:rFonts w:hint="eastAsia" w:ascii="宋体" w:hAnsi="宋体" w:eastAsia="宋体" w:cs="宋体"/>
          <w:b/>
          <w:bCs/>
          <w:sz w:val="44"/>
          <w:szCs w:val="44"/>
        </w:rPr>
      </w:pPr>
      <w:bookmarkStart w:id="189" w:name="_Toc15033"/>
      <w:r>
        <w:rPr>
          <w:rFonts w:hint="eastAsia" w:ascii="宋体" w:hAnsi="宋体" w:eastAsia="宋体" w:cs="宋体"/>
          <w:b/>
          <w:bCs/>
          <w:sz w:val="44"/>
          <w:szCs w:val="44"/>
        </w:rPr>
        <w:t>第三部分 技术文件</w:t>
      </w:r>
      <w:bookmarkEnd w:id="189"/>
    </w:p>
    <w:p w14:paraId="44246D86">
      <w:pPr>
        <w:adjustRightInd w:val="0"/>
        <w:snapToGrid w:val="0"/>
        <w:spacing w:line="360" w:lineRule="auto"/>
        <w:rPr>
          <w:rFonts w:hint="eastAsia" w:ascii="宋体" w:hAnsi="宋体" w:eastAsia="宋体" w:cs="宋体"/>
          <w:sz w:val="32"/>
          <w:szCs w:val="32"/>
        </w:rPr>
      </w:pPr>
    </w:p>
    <w:p w14:paraId="448A8FFC">
      <w:pPr>
        <w:adjustRightInd w:val="0"/>
        <w:snapToGrid w:val="0"/>
        <w:spacing w:line="360" w:lineRule="auto"/>
        <w:ind w:firstLine="1988" w:firstLineChars="660"/>
        <w:rPr>
          <w:rFonts w:hint="eastAsia" w:ascii="宋体" w:hAnsi="宋体" w:eastAsia="宋体" w:cs="宋体"/>
          <w:b/>
          <w:bCs/>
          <w:sz w:val="30"/>
          <w:szCs w:val="30"/>
        </w:rPr>
      </w:pPr>
    </w:p>
    <w:p w14:paraId="12C29C61">
      <w:pPr>
        <w:adjustRightInd w:val="0"/>
        <w:snapToGrid w:val="0"/>
        <w:spacing w:line="360" w:lineRule="auto"/>
        <w:ind w:firstLine="1988" w:firstLineChars="660"/>
        <w:rPr>
          <w:rFonts w:hint="eastAsia" w:ascii="宋体" w:hAnsi="宋体" w:eastAsia="宋体" w:cs="宋体"/>
          <w:b/>
          <w:bCs/>
          <w:sz w:val="30"/>
          <w:szCs w:val="30"/>
        </w:rPr>
      </w:pPr>
    </w:p>
    <w:p w14:paraId="4EF5E2F2">
      <w:pPr>
        <w:adjustRightInd w:val="0"/>
        <w:snapToGrid w:val="0"/>
        <w:spacing w:line="360" w:lineRule="auto"/>
        <w:ind w:firstLine="1988" w:firstLineChars="660"/>
        <w:rPr>
          <w:rFonts w:hint="eastAsia" w:ascii="宋体" w:hAnsi="宋体" w:eastAsia="宋体" w:cs="宋体"/>
          <w:b/>
          <w:bCs/>
          <w:sz w:val="30"/>
          <w:szCs w:val="30"/>
          <w:u w:val="single"/>
        </w:rPr>
      </w:pPr>
      <w:r>
        <w:rPr>
          <w:rFonts w:hint="eastAsia" w:ascii="宋体" w:hAnsi="宋体" w:eastAsia="宋体" w:cs="宋体"/>
          <w:b/>
          <w:bCs/>
          <w:sz w:val="30"/>
          <w:szCs w:val="30"/>
        </w:rPr>
        <w:t>采购项目名称：</w:t>
      </w:r>
      <w:r>
        <w:rPr>
          <w:rFonts w:hint="eastAsia" w:ascii="宋体" w:hAnsi="宋体" w:eastAsia="宋体" w:cs="宋体"/>
          <w:b/>
          <w:bCs/>
          <w:sz w:val="30"/>
          <w:szCs w:val="30"/>
          <w:u w:val="single"/>
        </w:rPr>
        <w:t xml:space="preserve">                       </w:t>
      </w:r>
    </w:p>
    <w:p w14:paraId="4A10301C">
      <w:pPr>
        <w:adjustRightInd w:val="0"/>
        <w:snapToGrid w:val="0"/>
        <w:spacing w:line="360" w:lineRule="auto"/>
        <w:ind w:firstLine="1988" w:firstLineChars="660"/>
        <w:rPr>
          <w:rFonts w:hint="eastAsia" w:ascii="宋体" w:hAnsi="宋体" w:eastAsia="宋体" w:cs="宋体"/>
          <w:b/>
          <w:bCs/>
          <w:sz w:val="30"/>
          <w:szCs w:val="30"/>
          <w:u w:val="single"/>
        </w:rPr>
      </w:pPr>
      <w:r>
        <w:rPr>
          <w:rFonts w:hint="eastAsia" w:ascii="宋体" w:hAnsi="宋体" w:eastAsia="宋体" w:cs="宋体"/>
          <w:b/>
          <w:bCs/>
          <w:sz w:val="30"/>
          <w:szCs w:val="30"/>
        </w:rPr>
        <w:t>政府采购编号：</w:t>
      </w:r>
      <w:r>
        <w:rPr>
          <w:rFonts w:hint="eastAsia" w:ascii="宋体" w:hAnsi="宋体" w:eastAsia="宋体" w:cs="宋体"/>
          <w:b/>
          <w:bCs/>
          <w:sz w:val="30"/>
          <w:szCs w:val="30"/>
          <w:u w:val="single"/>
        </w:rPr>
        <w:t xml:space="preserve">                       </w:t>
      </w:r>
    </w:p>
    <w:p w14:paraId="6A1285F9">
      <w:pPr>
        <w:adjustRightInd w:val="0"/>
        <w:snapToGrid w:val="0"/>
        <w:spacing w:line="360" w:lineRule="auto"/>
        <w:ind w:firstLine="1988" w:firstLineChars="660"/>
        <w:rPr>
          <w:rFonts w:hint="eastAsia" w:ascii="宋体" w:hAnsi="宋体" w:eastAsia="宋体" w:cs="宋体"/>
          <w:b/>
          <w:bCs/>
          <w:sz w:val="30"/>
          <w:szCs w:val="30"/>
          <w:u w:val="single"/>
        </w:rPr>
      </w:pPr>
      <w:r>
        <w:rPr>
          <w:rFonts w:hint="eastAsia" w:ascii="宋体" w:hAnsi="宋体" w:eastAsia="宋体" w:cs="宋体"/>
          <w:b/>
          <w:bCs/>
          <w:sz w:val="30"/>
          <w:szCs w:val="30"/>
        </w:rPr>
        <w:t>采购代理编号：</w:t>
      </w:r>
      <w:r>
        <w:rPr>
          <w:rFonts w:hint="eastAsia" w:ascii="宋体" w:hAnsi="宋体" w:eastAsia="宋体" w:cs="宋体"/>
          <w:b/>
          <w:bCs/>
          <w:sz w:val="30"/>
          <w:szCs w:val="30"/>
          <w:u w:val="single"/>
        </w:rPr>
        <w:t xml:space="preserve">                       </w:t>
      </w:r>
    </w:p>
    <w:p w14:paraId="63AA9F8F">
      <w:pPr>
        <w:adjustRightInd w:val="0"/>
        <w:snapToGrid w:val="0"/>
        <w:spacing w:line="360" w:lineRule="auto"/>
        <w:rPr>
          <w:rFonts w:hint="eastAsia" w:ascii="宋体" w:hAnsi="宋体" w:eastAsia="宋体" w:cs="宋体"/>
          <w:sz w:val="30"/>
          <w:szCs w:val="30"/>
        </w:rPr>
      </w:pPr>
    </w:p>
    <w:p w14:paraId="23B825B1">
      <w:pPr>
        <w:widowControl/>
        <w:ind w:firstLine="420"/>
        <w:jc w:val="left"/>
        <w:rPr>
          <w:rFonts w:ascii="Times New Roman" w:hAnsi="Times New Roman" w:eastAsia="宋体" w:cs="Times New Roman"/>
          <w:kern w:val="0"/>
          <w:sz w:val="20"/>
          <w:szCs w:val="20"/>
        </w:rPr>
      </w:pPr>
    </w:p>
    <w:p w14:paraId="6A8AAAA0">
      <w:pPr>
        <w:adjustRightInd w:val="0"/>
        <w:snapToGrid w:val="0"/>
        <w:spacing w:line="360" w:lineRule="auto"/>
        <w:rPr>
          <w:rFonts w:hint="eastAsia" w:ascii="宋体" w:hAnsi="宋体" w:eastAsia="宋体" w:cs="宋体"/>
          <w:sz w:val="30"/>
          <w:szCs w:val="30"/>
        </w:rPr>
      </w:pPr>
    </w:p>
    <w:p w14:paraId="64C0A639">
      <w:pPr>
        <w:adjustRightInd w:val="0"/>
        <w:snapToGrid w:val="0"/>
        <w:spacing w:line="360" w:lineRule="auto"/>
        <w:rPr>
          <w:rFonts w:hint="eastAsia" w:ascii="宋体" w:hAnsi="宋体" w:eastAsia="宋体" w:cs="宋体"/>
          <w:sz w:val="30"/>
          <w:szCs w:val="30"/>
        </w:rPr>
      </w:pPr>
    </w:p>
    <w:p w14:paraId="4DB5BA57">
      <w:pPr>
        <w:adjustRightInd w:val="0"/>
        <w:snapToGrid w:val="0"/>
        <w:spacing w:line="360" w:lineRule="auto"/>
        <w:rPr>
          <w:rFonts w:hint="eastAsia" w:ascii="宋体" w:hAnsi="宋体" w:eastAsia="宋体" w:cs="宋体"/>
          <w:sz w:val="30"/>
          <w:szCs w:val="30"/>
        </w:rPr>
      </w:pPr>
    </w:p>
    <w:p w14:paraId="4FBA6915">
      <w:pPr>
        <w:adjustRightInd w:val="0"/>
        <w:snapToGrid w:val="0"/>
        <w:spacing w:line="360" w:lineRule="auto"/>
        <w:ind w:left="1273" w:leftChars="606" w:firstLine="2"/>
        <w:rPr>
          <w:rFonts w:hint="eastAsia" w:ascii="宋体" w:hAnsi="宋体" w:eastAsia="宋体" w:cs="宋体"/>
          <w:sz w:val="32"/>
          <w:szCs w:val="32"/>
          <w:u w:val="single"/>
        </w:rPr>
      </w:pPr>
      <w:r>
        <w:rPr>
          <w:rFonts w:hint="eastAsia" w:ascii="宋体" w:hAnsi="宋体" w:eastAsia="宋体" w:cs="宋体"/>
          <w:sz w:val="32"/>
          <w:szCs w:val="32"/>
        </w:rPr>
        <w:t>投标人</w:t>
      </w:r>
      <w:r>
        <w:rPr>
          <w:rFonts w:hint="eastAsia" w:ascii="宋体" w:hAnsi="宋体" w:eastAsia="宋体" w:cs="宋体"/>
          <w:sz w:val="32"/>
          <w:szCs w:val="32"/>
          <w:u w:val="single"/>
        </w:rPr>
        <w:t xml:space="preserve">                         </w:t>
      </w:r>
    </w:p>
    <w:p w14:paraId="3D5E1D6D">
      <w:pPr>
        <w:adjustRightInd w:val="0"/>
        <w:snapToGrid w:val="0"/>
        <w:spacing w:line="360" w:lineRule="auto"/>
        <w:jc w:val="center"/>
        <w:rPr>
          <w:rFonts w:hint="eastAsia" w:ascii="宋体" w:hAnsi="宋体" w:eastAsia="宋体" w:cs="宋体"/>
          <w:sz w:val="32"/>
          <w:szCs w:val="32"/>
        </w:rPr>
      </w:pPr>
      <w:r>
        <w:rPr>
          <w:rFonts w:hint="eastAsia" w:ascii="宋体" w:hAnsi="宋体" w:eastAsia="宋体" w:cs="宋体"/>
          <w:sz w:val="32"/>
          <w:szCs w:val="32"/>
        </w:rPr>
        <w:t>年  月  日</w:t>
      </w:r>
    </w:p>
    <w:bookmarkEnd w:id="188"/>
    <w:p w14:paraId="5E9BAD6C">
      <w:pPr>
        <w:rPr>
          <w:rFonts w:hint="eastAsia" w:ascii="宋体" w:hAnsi="宋体" w:eastAsia="宋体" w:cs="宋体"/>
          <w:sz w:val="28"/>
          <w:szCs w:val="28"/>
        </w:rPr>
      </w:pPr>
      <w:r>
        <w:rPr>
          <w:rFonts w:hint="eastAsia" w:ascii="宋体" w:hAnsi="宋体" w:eastAsia="宋体" w:cs="宋体"/>
          <w:u w:val="single"/>
        </w:rPr>
        <w:br w:type="page"/>
      </w:r>
    </w:p>
    <w:p w14:paraId="1558E560">
      <w:pPr>
        <w:adjustRightInd w:val="0"/>
        <w:snapToGrid w:val="0"/>
        <w:spacing w:line="360" w:lineRule="auto"/>
        <w:jc w:val="center"/>
        <w:outlineLvl w:val="2"/>
        <w:rPr>
          <w:rFonts w:hint="eastAsia" w:ascii="宋体" w:hAnsi="宋体" w:eastAsia="黑体" w:cs="宋体"/>
          <w:b/>
          <w:bCs/>
          <w:sz w:val="28"/>
          <w:szCs w:val="28"/>
        </w:rPr>
      </w:pPr>
      <w:bookmarkStart w:id="190" w:name="OLE_LINK160"/>
      <w:bookmarkStart w:id="191" w:name="OLE_LINK224"/>
      <w:bookmarkStart w:id="192" w:name="OLE_LINK161"/>
      <w:bookmarkStart w:id="193" w:name="OLE_LINK225"/>
      <w:bookmarkStart w:id="194" w:name="_Toc9738"/>
      <w:r>
        <w:rPr>
          <w:rFonts w:hint="eastAsia" w:ascii="宋体" w:hAnsi="宋体" w:eastAsia="黑体" w:cs="宋体"/>
          <w:b/>
          <w:bCs/>
          <w:sz w:val="28"/>
          <w:szCs w:val="28"/>
        </w:rPr>
        <w:t>十</w:t>
      </w:r>
      <w:r>
        <w:rPr>
          <w:rFonts w:hint="eastAsia" w:ascii="宋体" w:hAnsi="宋体" w:eastAsia="黑体" w:cs="宋体"/>
          <w:b/>
          <w:bCs/>
          <w:sz w:val="28"/>
          <w:szCs w:val="28"/>
          <w:lang w:val="en-US" w:eastAsia="zh-CN"/>
        </w:rPr>
        <w:t>一</w:t>
      </w:r>
      <w:r>
        <w:rPr>
          <w:rFonts w:hint="eastAsia" w:ascii="宋体" w:hAnsi="宋体" w:eastAsia="黑体" w:cs="宋体"/>
          <w:b/>
          <w:bCs/>
          <w:sz w:val="28"/>
          <w:szCs w:val="28"/>
        </w:rPr>
        <w:t>、货物说明一览表</w:t>
      </w:r>
      <w:bookmarkEnd w:id="190"/>
    </w:p>
    <w:bookmarkEnd w:id="191"/>
    <w:p w14:paraId="0E643EE3">
      <w:pPr>
        <w:adjustRightInd w:val="0"/>
        <w:snapToGrid w:val="0"/>
        <w:spacing w:line="360" w:lineRule="auto"/>
        <w:ind w:left="-88" w:leftChars="-42"/>
        <w:jc w:val="center"/>
        <w:rPr>
          <w:rFonts w:hint="eastAsia" w:ascii="宋体" w:hAnsi="宋体" w:eastAsia="宋体" w:cs="宋体"/>
          <w:sz w:val="24"/>
        </w:rPr>
      </w:pPr>
    </w:p>
    <w:p w14:paraId="36CD47FB">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采购代理编号：</w:t>
      </w:r>
      <w:r>
        <w:rPr>
          <w:rFonts w:hint="eastAsia" w:ascii="宋体" w:hAnsi="宋体" w:eastAsia="宋体" w:cs="宋体"/>
          <w:szCs w:val="21"/>
          <w:u w:val="single"/>
        </w:rPr>
        <w:t xml:space="preserve">            </w:t>
      </w:r>
      <w:r>
        <w:rPr>
          <w:rFonts w:hint="eastAsia" w:ascii="宋体" w:hAnsi="宋体" w:eastAsia="宋体" w:cs="宋体"/>
          <w:szCs w:val="21"/>
        </w:rPr>
        <w:t xml:space="preserve">                       项目名称：</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7C4F46E4">
      <w:pPr>
        <w:adjustRightInd w:val="0"/>
        <w:snapToGrid w:val="0"/>
        <w:spacing w:before="161" w:beforeLines="50" w:line="360" w:lineRule="auto"/>
        <w:rPr>
          <w:rFonts w:hint="eastAsia" w:ascii="宋体" w:hAnsi="宋体" w:eastAsia="宋体" w:cs="宋体"/>
        </w:rPr>
      </w:pPr>
      <w:r>
        <w:rPr>
          <w:rFonts w:hint="eastAsia" w:ascii="宋体" w:hAnsi="宋体" w:eastAsia="宋体" w:cs="宋体"/>
          <w:szCs w:val="21"/>
        </w:rPr>
        <w:t>包号：</w:t>
      </w:r>
      <w:r>
        <w:rPr>
          <w:rFonts w:hint="eastAsia" w:ascii="宋体" w:hAnsi="宋体" w:eastAsia="宋体" w:cs="宋体"/>
          <w:szCs w:val="21"/>
          <w:u w:val="single"/>
        </w:rPr>
        <w:t xml:space="preserve">              </w:t>
      </w:r>
      <w:r>
        <w:rPr>
          <w:rFonts w:hint="eastAsia" w:ascii="宋体" w:hAnsi="宋体" w:eastAsia="宋体" w:cs="宋体"/>
          <w:szCs w:val="21"/>
        </w:rPr>
        <w:t xml:space="preserve">                               包名称：</w:t>
      </w:r>
      <w:r>
        <w:rPr>
          <w:rFonts w:hint="eastAsia" w:ascii="宋体" w:hAnsi="宋体" w:eastAsia="宋体" w:cs="宋体"/>
          <w:szCs w:val="21"/>
          <w:u w:val="single"/>
        </w:rPr>
        <w:t xml:space="preserve">             </w:t>
      </w:r>
      <w:r>
        <w:rPr>
          <w:rFonts w:hint="eastAsia" w:ascii="宋体" w:hAnsi="宋体" w:eastAsia="宋体" w:cs="宋体"/>
          <w:szCs w:val="21"/>
        </w:rPr>
        <w:t xml:space="preserve"> </w:t>
      </w:r>
    </w:p>
    <w:tbl>
      <w:tblPr>
        <w:tblStyle w:val="2"/>
        <w:tblW w:w="5000"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659"/>
        <w:gridCol w:w="731"/>
        <w:gridCol w:w="1934"/>
        <w:gridCol w:w="1331"/>
        <w:gridCol w:w="1184"/>
        <w:gridCol w:w="2149"/>
        <w:gridCol w:w="959"/>
      </w:tblGrid>
      <w:tr w14:paraId="545C531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368" w:type="pct"/>
            <w:tcBorders>
              <w:tl2br w:val="nil"/>
              <w:tr2bl w:val="nil"/>
            </w:tcBorders>
            <w:tcMar>
              <w:top w:w="0" w:type="dxa"/>
              <w:left w:w="108" w:type="dxa"/>
              <w:bottom w:w="0" w:type="dxa"/>
              <w:right w:w="108" w:type="dxa"/>
            </w:tcMar>
            <w:vAlign w:val="center"/>
          </w:tcPr>
          <w:p w14:paraId="085F8973">
            <w:pPr>
              <w:spacing w:line="400" w:lineRule="atLeast"/>
              <w:jc w:val="center"/>
              <w:rPr>
                <w:rFonts w:ascii="Times New Roman" w:hAnsi="Times New Roman" w:eastAsia="宋体" w:cs="Times New Roman"/>
              </w:rPr>
            </w:pPr>
            <w:r>
              <w:rPr>
                <w:rFonts w:ascii="宋体" w:hAnsi="宋体" w:eastAsia="宋体" w:cs="宋体"/>
                <w:szCs w:val="21"/>
              </w:rPr>
              <w:t>序号</w:t>
            </w:r>
          </w:p>
        </w:tc>
        <w:tc>
          <w:tcPr>
            <w:tcW w:w="408" w:type="pct"/>
            <w:tcBorders>
              <w:tl2br w:val="nil"/>
              <w:tr2bl w:val="nil"/>
            </w:tcBorders>
            <w:tcMar>
              <w:top w:w="0" w:type="dxa"/>
              <w:left w:w="108" w:type="dxa"/>
              <w:bottom w:w="0" w:type="dxa"/>
              <w:right w:w="108" w:type="dxa"/>
            </w:tcMar>
            <w:vAlign w:val="center"/>
          </w:tcPr>
          <w:p w14:paraId="5428B48D">
            <w:pPr>
              <w:spacing w:line="400" w:lineRule="atLeast"/>
              <w:jc w:val="center"/>
              <w:rPr>
                <w:rFonts w:ascii="Times New Roman" w:hAnsi="Times New Roman" w:eastAsia="宋体" w:cs="Times New Roman"/>
              </w:rPr>
            </w:pPr>
            <w:r>
              <w:rPr>
                <w:rFonts w:ascii="宋体" w:hAnsi="宋体" w:eastAsia="宋体" w:cs="宋体"/>
                <w:szCs w:val="21"/>
              </w:rPr>
              <w:t>包号</w:t>
            </w:r>
          </w:p>
        </w:tc>
        <w:tc>
          <w:tcPr>
            <w:tcW w:w="1080" w:type="pct"/>
            <w:tcBorders>
              <w:tl2br w:val="nil"/>
              <w:tr2bl w:val="nil"/>
            </w:tcBorders>
            <w:tcMar>
              <w:top w:w="0" w:type="dxa"/>
              <w:left w:w="108" w:type="dxa"/>
              <w:bottom w:w="0" w:type="dxa"/>
              <w:right w:w="108" w:type="dxa"/>
            </w:tcMar>
            <w:vAlign w:val="center"/>
          </w:tcPr>
          <w:p w14:paraId="38A372C5">
            <w:pPr>
              <w:spacing w:line="400" w:lineRule="atLeast"/>
              <w:jc w:val="center"/>
              <w:rPr>
                <w:rFonts w:ascii="Times New Roman" w:hAnsi="Times New Roman" w:eastAsia="宋体" w:cs="Times New Roman"/>
              </w:rPr>
            </w:pPr>
            <w:r>
              <w:rPr>
                <w:rFonts w:ascii="宋体" w:hAnsi="宋体" w:eastAsia="宋体" w:cs="宋体"/>
                <w:szCs w:val="21"/>
              </w:rPr>
              <w:t>货物名称</w:t>
            </w:r>
          </w:p>
        </w:tc>
        <w:tc>
          <w:tcPr>
            <w:tcW w:w="743" w:type="pct"/>
            <w:tcBorders>
              <w:tl2br w:val="nil"/>
              <w:tr2bl w:val="nil"/>
            </w:tcBorders>
            <w:tcMar>
              <w:top w:w="0" w:type="dxa"/>
              <w:left w:w="108" w:type="dxa"/>
              <w:bottom w:w="0" w:type="dxa"/>
              <w:right w:w="108" w:type="dxa"/>
            </w:tcMar>
            <w:vAlign w:val="center"/>
          </w:tcPr>
          <w:p w14:paraId="7176B878">
            <w:pPr>
              <w:spacing w:line="400" w:lineRule="atLeast"/>
              <w:jc w:val="center"/>
              <w:rPr>
                <w:rFonts w:ascii="Times New Roman" w:hAnsi="Times New Roman" w:eastAsia="宋体" w:cs="Times New Roman"/>
              </w:rPr>
            </w:pPr>
            <w:r>
              <w:rPr>
                <w:rFonts w:ascii="宋体" w:hAnsi="宋体" w:eastAsia="宋体" w:cs="宋体"/>
                <w:szCs w:val="21"/>
              </w:rPr>
              <w:t>制造商名称</w:t>
            </w:r>
          </w:p>
        </w:tc>
        <w:tc>
          <w:tcPr>
            <w:tcW w:w="661" w:type="pct"/>
            <w:tcBorders>
              <w:tl2br w:val="nil"/>
              <w:tr2bl w:val="nil"/>
            </w:tcBorders>
            <w:tcMar>
              <w:top w:w="0" w:type="dxa"/>
              <w:left w:w="108" w:type="dxa"/>
              <w:bottom w:w="0" w:type="dxa"/>
              <w:right w:w="108" w:type="dxa"/>
            </w:tcMar>
            <w:vAlign w:val="center"/>
          </w:tcPr>
          <w:p w14:paraId="728FC9AE">
            <w:pPr>
              <w:spacing w:line="400" w:lineRule="atLeast"/>
              <w:jc w:val="center"/>
              <w:rPr>
                <w:rFonts w:ascii="Times New Roman" w:hAnsi="Times New Roman" w:eastAsia="宋体" w:cs="Times New Roman"/>
              </w:rPr>
            </w:pPr>
            <w:r>
              <w:rPr>
                <w:rFonts w:ascii="宋体" w:hAnsi="宋体" w:eastAsia="宋体" w:cs="宋体"/>
                <w:szCs w:val="21"/>
              </w:rPr>
              <w:t>型号规格</w:t>
            </w:r>
          </w:p>
        </w:tc>
        <w:tc>
          <w:tcPr>
            <w:tcW w:w="1200" w:type="pct"/>
            <w:tcBorders>
              <w:tl2br w:val="nil"/>
              <w:tr2bl w:val="nil"/>
            </w:tcBorders>
            <w:tcMar>
              <w:top w:w="0" w:type="dxa"/>
              <w:left w:w="108" w:type="dxa"/>
              <w:bottom w:w="0" w:type="dxa"/>
              <w:right w:w="108" w:type="dxa"/>
            </w:tcMar>
            <w:vAlign w:val="center"/>
          </w:tcPr>
          <w:p w14:paraId="1138FC3E">
            <w:pPr>
              <w:spacing w:line="400" w:lineRule="atLeast"/>
              <w:jc w:val="center"/>
              <w:rPr>
                <w:rFonts w:ascii="Times New Roman" w:hAnsi="Times New Roman" w:eastAsia="宋体" w:cs="Times New Roman"/>
              </w:rPr>
            </w:pPr>
            <w:r>
              <w:rPr>
                <w:rFonts w:ascii="宋体" w:hAnsi="宋体" w:eastAsia="宋体" w:cs="宋体"/>
                <w:szCs w:val="21"/>
              </w:rPr>
              <w:t>主要技术参数和技术指标</w:t>
            </w:r>
          </w:p>
        </w:tc>
        <w:tc>
          <w:tcPr>
            <w:tcW w:w="535" w:type="pct"/>
            <w:tcBorders>
              <w:tl2br w:val="nil"/>
              <w:tr2bl w:val="nil"/>
            </w:tcBorders>
            <w:tcMar>
              <w:top w:w="0" w:type="dxa"/>
              <w:left w:w="108" w:type="dxa"/>
              <w:bottom w:w="0" w:type="dxa"/>
              <w:right w:w="108" w:type="dxa"/>
            </w:tcMar>
            <w:vAlign w:val="center"/>
          </w:tcPr>
          <w:p w14:paraId="52319CE1">
            <w:pPr>
              <w:spacing w:line="400" w:lineRule="atLeast"/>
              <w:jc w:val="center"/>
              <w:rPr>
                <w:rFonts w:ascii="Times New Roman" w:hAnsi="Times New Roman" w:eastAsia="宋体" w:cs="Times New Roman"/>
              </w:rPr>
            </w:pPr>
            <w:r>
              <w:rPr>
                <w:rFonts w:ascii="宋体" w:hAnsi="宋体" w:eastAsia="宋体" w:cs="宋体"/>
                <w:szCs w:val="21"/>
              </w:rPr>
              <w:t>备  注</w:t>
            </w:r>
          </w:p>
        </w:tc>
      </w:tr>
      <w:tr w14:paraId="7B349E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368" w:type="pct"/>
            <w:tcBorders>
              <w:tl2br w:val="nil"/>
              <w:tr2bl w:val="nil"/>
            </w:tcBorders>
            <w:tcMar>
              <w:top w:w="0" w:type="dxa"/>
              <w:left w:w="108" w:type="dxa"/>
              <w:bottom w:w="0" w:type="dxa"/>
              <w:right w:w="108" w:type="dxa"/>
            </w:tcMar>
            <w:vAlign w:val="center"/>
          </w:tcPr>
          <w:p w14:paraId="74EC2351">
            <w:pPr>
              <w:spacing w:line="400" w:lineRule="atLeast"/>
              <w:jc w:val="center"/>
              <w:rPr>
                <w:rFonts w:ascii="Times New Roman" w:hAnsi="Times New Roman" w:eastAsia="宋体" w:cs="Times New Roman"/>
              </w:rPr>
            </w:pPr>
          </w:p>
        </w:tc>
        <w:tc>
          <w:tcPr>
            <w:tcW w:w="408" w:type="pct"/>
            <w:tcBorders>
              <w:tl2br w:val="nil"/>
              <w:tr2bl w:val="nil"/>
            </w:tcBorders>
            <w:tcMar>
              <w:top w:w="0" w:type="dxa"/>
              <w:left w:w="108" w:type="dxa"/>
              <w:bottom w:w="0" w:type="dxa"/>
              <w:right w:w="108" w:type="dxa"/>
            </w:tcMar>
            <w:vAlign w:val="center"/>
          </w:tcPr>
          <w:p w14:paraId="2213E0B3">
            <w:pPr>
              <w:spacing w:line="400" w:lineRule="atLeast"/>
              <w:jc w:val="center"/>
              <w:rPr>
                <w:rFonts w:ascii="Times New Roman" w:hAnsi="Times New Roman" w:eastAsia="宋体" w:cs="Times New Roman"/>
              </w:rPr>
            </w:pPr>
          </w:p>
        </w:tc>
        <w:tc>
          <w:tcPr>
            <w:tcW w:w="1080" w:type="pct"/>
            <w:tcBorders>
              <w:tl2br w:val="nil"/>
              <w:tr2bl w:val="nil"/>
            </w:tcBorders>
            <w:tcMar>
              <w:top w:w="0" w:type="dxa"/>
              <w:left w:w="108" w:type="dxa"/>
              <w:bottom w:w="0" w:type="dxa"/>
              <w:right w:w="108" w:type="dxa"/>
            </w:tcMar>
            <w:vAlign w:val="center"/>
          </w:tcPr>
          <w:p w14:paraId="6F9FF9AF">
            <w:pPr>
              <w:spacing w:line="400" w:lineRule="atLeast"/>
              <w:jc w:val="center"/>
              <w:rPr>
                <w:rFonts w:ascii="Times New Roman" w:hAnsi="Times New Roman" w:eastAsia="宋体" w:cs="Times New Roman"/>
              </w:rPr>
            </w:pPr>
          </w:p>
        </w:tc>
        <w:tc>
          <w:tcPr>
            <w:tcW w:w="743" w:type="pct"/>
            <w:tcBorders>
              <w:tl2br w:val="nil"/>
              <w:tr2bl w:val="nil"/>
            </w:tcBorders>
            <w:tcMar>
              <w:top w:w="0" w:type="dxa"/>
              <w:left w:w="108" w:type="dxa"/>
              <w:bottom w:w="0" w:type="dxa"/>
              <w:right w:w="108" w:type="dxa"/>
            </w:tcMar>
            <w:vAlign w:val="center"/>
          </w:tcPr>
          <w:p w14:paraId="673A936D">
            <w:pPr>
              <w:spacing w:line="400" w:lineRule="atLeast"/>
              <w:jc w:val="center"/>
              <w:rPr>
                <w:rFonts w:ascii="Times New Roman" w:hAnsi="Times New Roman" w:eastAsia="宋体" w:cs="Times New Roman"/>
              </w:rPr>
            </w:pPr>
          </w:p>
        </w:tc>
        <w:tc>
          <w:tcPr>
            <w:tcW w:w="661" w:type="pct"/>
            <w:tcBorders>
              <w:tl2br w:val="nil"/>
              <w:tr2bl w:val="nil"/>
            </w:tcBorders>
            <w:tcMar>
              <w:top w:w="0" w:type="dxa"/>
              <w:left w:w="108" w:type="dxa"/>
              <w:bottom w:w="0" w:type="dxa"/>
              <w:right w:w="108" w:type="dxa"/>
            </w:tcMar>
            <w:vAlign w:val="center"/>
          </w:tcPr>
          <w:p w14:paraId="4D36A951">
            <w:pPr>
              <w:spacing w:line="400" w:lineRule="atLeast"/>
              <w:jc w:val="center"/>
              <w:rPr>
                <w:rFonts w:ascii="Times New Roman" w:hAnsi="Times New Roman" w:eastAsia="宋体" w:cs="Times New Roman"/>
              </w:rPr>
            </w:pPr>
          </w:p>
        </w:tc>
        <w:tc>
          <w:tcPr>
            <w:tcW w:w="1200" w:type="pct"/>
            <w:tcBorders>
              <w:tl2br w:val="nil"/>
              <w:tr2bl w:val="nil"/>
            </w:tcBorders>
            <w:tcMar>
              <w:top w:w="0" w:type="dxa"/>
              <w:left w:w="108" w:type="dxa"/>
              <w:bottom w:w="0" w:type="dxa"/>
              <w:right w:w="108" w:type="dxa"/>
            </w:tcMar>
            <w:vAlign w:val="center"/>
          </w:tcPr>
          <w:p w14:paraId="450A77C5">
            <w:pPr>
              <w:spacing w:line="400" w:lineRule="atLeast"/>
              <w:jc w:val="center"/>
              <w:rPr>
                <w:rFonts w:ascii="Times New Roman" w:hAnsi="Times New Roman" w:eastAsia="宋体" w:cs="Times New Roman"/>
              </w:rPr>
            </w:pPr>
          </w:p>
        </w:tc>
        <w:tc>
          <w:tcPr>
            <w:tcW w:w="535" w:type="pct"/>
            <w:tcBorders>
              <w:tl2br w:val="nil"/>
              <w:tr2bl w:val="nil"/>
            </w:tcBorders>
            <w:tcMar>
              <w:top w:w="0" w:type="dxa"/>
              <w:left w:w="108" w:type="dxa"/>
              <w:bottom w:w="0" w:type="dxa"/>
              <w:right w:w="108" w:type="dxa"/>
            </w:tcMar>
            <w:vAlign w:val="center"/>
          </w:tcPr>
          <w:p w14:paraId="3DA19742">
            <w:pPr>
              <w:spacing w:line="400" w:lineRule="atLeast"/>
              <w:jc w:val="center"/>
              <w:rPr>
                <w:rFonts w:ascii="Times New Roman" w:hAnsi="Times New Roman" w:eastAsia="宋体" w:cs="Times New Roman"/>
              </w:rPr>
            </w:pPr>
          </w:p>
        </w:tc>
      </w:tr>
      <w:tr w14:paraId="6CE979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368" w:type="pct"/>
            <w:tcBorders>
              <w:tl2br w:val="nil"/>
              <w:tr2bl w:val="nil"/>
            </w:tcBorders>
            <w:tcMar>
              <w:top w:w="0" w:type="dxa"/>
              <w:left w:w="108" w:type="dxa"/>
              <w:bottom w:w="0" w:type="dxa"/>
              <w:right w:w="108" w:type="dxa"/>
            </w:tcMar>
            <w:vAlign w:val="center"/>
          </w:tcPr>
          <w:p w14:paraId="2CC03120">
            <w:pPr>
              <w:spacing w:line="400" w:lineRule="atLeast"/>
              <w:jc w:val="center"/>
              <w:rPr>
                <w:rFonts w:ascii="Times New Roman" w:hAnsi="Times New Roman" w:eastAsia="宋体" w:cs="Times New Roman"/>
              </w:rPr>
            </w:pPr>
          </w:p>
        </w:tc>
        <w:tc>
          <w:tcPr>
            <w:tcW w:w="408" w:type="pct"/>
            <w:tcBorders>
              <w:tl2br w:val="nil"/>
              <w:tr2bl w:val="nil"/>
            </w:tcBorders>
            <w:tcMar>
              <w:top w:w="0" w:type="dxa"/>
              <w:left w:w="108" w:type="dxa"/>
              <w:bottom w:w="0" w:type="dxa"/>
              <w:right w:w="108" w:type="dxa"/>
            </w:tcMar>
            <w:vAlign w:val="center"/>
          </w:tcPr>
          <w:p w14:paraId="64295730">
            <w:pPr>
              <w:spacing w:line="400" w:lineRule="atLeast"/>
              <w:jc w:val="center"/>
              <w:rPr>
                <w:rFonts w:ascii="Times New Roman" w:hAnsi="Times New Roman" w:eastAsia="宋体" w:cs="Times New Roman"/>
              </w:rPr>
            </w:pPr>
          </w:p>
        </w:tc>
        <w:tc>
          <w:tcPr>
            <w:tcW w:w="1080" w:type="pct"/>
            <w:tcBorders>
              <w:tl2br w:val="nil"/>
              <w:tr2bl w:val="nil"/>
            </w:tcBorders>
            <w:tcMar>
              <w:top w:w="0" w:type="dxa"/>
              <w:left w:w="108" w:type="dxa"/>
              <w:bottom w:w="0" w:type="dxa"/>
              <w:right w:w="108" w:type="dxa"/>
            </w:tcMar>
            <w:vAlign w:val="center"/>
          </w:tcPr>
          <w:p w14:paraId="2102BFFB">
            <w:pPr>
              <w:spacing w:line="400" w:lineRule="atLeast"/>
              <w:jc w:val="center"/>
              <w:rPr>
                <w:rFonts w:ascii="Times New Roman" w:hAnsi="Times New Roman" w:eastAsia="宋体" w:cs="Times New Roman"/>
              </w:rPr>
            </w:pPr>
          </w:p>
        </w:tc>
        <w:tc>
          <w:tcPr>
            <w:tcW w:w="743" w:type="pct"/>
            <w:tcBorders>
              <w:tl2br w:val="nil"/>
              <w:tr2bl w:val="nil"/>
            </w:tcBorders>
            <w:tcMar>
              <w:top w:w="0" w:type="dxa"/>
              <w:left w:w="108" w:type="dxa"/>
              <w:bottom w:w="0" w:type="dxa"/>
              <w:right w:w="108" w:type="dxa"/>
            </w:tcMar>
            <w:vAlign w:val="center"/>
          </w:tcPr>
          <w:p w14:paraId="018BB71C">
            <w:pPr>
              <w:spacing w:line="400" w:lineRule="atLeast"/>
              <w:jc w:val="center"/>
              <w:rPr>
                <w:rFonts w:ascii="Times New Roman" w:hAnsi="Times New Roman" w:eastAsia="宋体" w:cs="Times New Roman"/>
              </w:rPr>
            </w:pPr>
          </w:p>
        </w:tc>
        <w:tc>
          <w:tcPr>
            <w:tcW w:w="661" w:type="pct"/>
            <w:tcBorders>
              <w:tl2br w:val="nil"/>
              <w:tr2bl w:val="nil"/>
            </w:tcBorders>
            <w:tcMar>
              <w:top w:w="0" w:type="dxa"/>
              <w:left w:w="108" w:type="dxa"/>
              <w:bottom w:w="0" w:type="dxa"/>
              <w:right w:w="108" w:type="dxa"/>
            </w:tcMar>
            <w:vAlign w:val="center"/>
          </w:tcPr>
          <w:p w14:paraId="67FC661E">
            <w:pPr>
              <w:spacing w:line="400" w:lineRule="atLeast"/>
              <w:jc w:val="center"/>
              <w:rPr>
                <w:rFonts w:ascii="Times New Roman" w:hAnsi="Times New Roman" w:eastAsia="宋体" w:cs="Times New Roman"/>
              </w:rPr>
            </w:pPr>
          </w:p>
        </w:tc>
        <w:tc>
          <w:tcPr>
            <w:tcW w:w="1200" w:type="pct"/>
            <w:tcBorders>
              <w:tl2br w:val="nil"/>
              <w:tr2bl w:val="nil"/>
            </w:tcBorders>
            <w:tcMar>
              <w:top w:w="0" w:type="dxa"/>
              <w:left w:w="108" w:type="dxa"/>
              <w:bottom w:w="0" w:type="dxa"/>
              <w:right w:w="108" w:type="dxa"/>
            </w:tcMar>
            <w:vAlign w:val="center"/>
          </w:tcPr>
          <w:p w14:paraId="58E66889">
            <w:pPr>
              <w:spacing w:line="400" w:lineRule="atLeast"/>
              <w:jc w:val="center"/>
              <w:rPr>
                <w:rFonts w:ascii="Times New Roman" w:hAnsi="Times New Roman" w:eastAsia="宋体" w:cs="Times New Roman"/>
              </w:rPr>
            </w:pPr>
          </w:p>
        </w:tc>
        <w:tc>
          <w:tcPr>
            <w:tcW w:w="535" w:type="pct"/>
            <w:tcBorders>
              <w:tl2br w:val="nil"/>
              <w:tr2bl w:val="nil"/>
            </w:tcBorders>
            <w:tcMar>
              <w:top w:w="0" w:type="dxa"/>
              <w:left w:w="108" w:type="dxa"/>
              <w:bottom w:w="0" w:type="dxa"/>
              <w:right w:w="108" w:type="dxa"/>
            </w:tcMar>
            <w:vAlign w:val="center"/>
          </w:tcPr>
          <w:p w14:paraId="1A453AB2">
            <w:pPr>
              <w:spacing w:line="400" w:lineRule="atLeast"/>
              <w:jc w:val="center"/>
              <w:rPr>
                <w:rFonts w:ascii="Times New Roman" w:hAnsi="Times New Roman" w:eastAsia="宋体" w:cs="Times New Roman"/>
              </w:rPr>
            </w:pPr>
          </w:p>
        </w:tc>
      </w:tr>
      <w:tr w14:paraId="3B7532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368" w:type="pct"/>
            <w:tcBorders>
              <w:tl2br w:val="nil"/>
              <w:tr2bl w:val="nil"/>
            </w:tcBorders>
            <w:tcMar>
              <w:top w:w="0" w:type="dxa"/>
              <w:left w:w="108" w:type="dxa"/>
              <w:bottom w:w="0" w:type="dxa"/>
              <w:right w:w="108" w:type="dxa"/>
            </w:tcMar>
            <w:vAlign w:val="center"/>
          </w:tcPr>
          <w:p w14:paraId="53F4B36E">
            <w:pPr>
              <w:spacing w:line="400" w:lineRule="atLeast"/>
              <w:jc w:val="center"/>
              <w:rPr>
                <w:rFonts w:ascii="Times New Roman" w:hAnsi="Times New Roman" w:eastAsia="宋体" w:cs="Times New Roman"/>
              </w:rPr>
            </w:pPr>
          </w:p>
        </w:tc>
        <w:tc>
          <w:tcPr>
            <w:tcW w:w="408" w:type="pct"/>
            <w:tcBorders>
              <w:tl2br w:val="nil"/>
              <w:tr2bl w:val="nil"/>
            </w:tcBorders>
            <w:tcMar>
              <w:top w:w="0" w:type="dxa"/>
              <w:left w:w="108" w:type="dxa"/>
              <w:bottom w:w="0" w:type="dxa"/>
              <w:right w:w="108" w:type="dxa"/>
            </w:tcMar>
            <w:vAlign w:val="center"/>
          </w:tcPr>
          <w:p w14:paraId="6D9459F3">
            <w:pPr>
              <w:spacing w:line="400" w:lineRule="atLeast"/>
              <w:jc w:val="center"/>
              <w:rPr>
                <w:rFonts w:ascii="Times New Roman" w:hAnsi="Times New Roman" w:eastAsia="宋体" w:cs="Times New Roman"/>
              </w:rPr>
            </w:pPr>
          </w:p>
        </w:tc>
        <w:tc>
          <w:tcPr>
            <w:tcW w:w="1080" w:type="pct"/>
            <w:tcBorders>
              <w:tl2br w:val="nil"/>
              <w:tr2bl w:val="nil"/>
            </w:tcBorders>
            <w:tcMar>
              <w:top w:w="0" w:type="dxa"/>
              <w:left w:w="108" w:type="dxa"/>
              <w:bottom w:w="0" w:type="dxa"/>
              <w:right w:w="108" w:type="dxa"/>
            </w:tcMar>
            <w:vAlign w:val="center"/>
          </w:tcPr>
          <w:p w14:paraId="6F4BBB0E">
            <w:pPr>
              <w:spacing w:line="400" w:lineRule="atLeast"/>
              <w:jc w:val="center"/>
              <w:rPr>
                <w:rFonts w:ascii="Times New Roman" w:hAnsi="Times New Roman" w:eastAsia="宋体" w:cs="Times New Roman"/>
              </w:rPr>
            </w:pPr>
          </w:p>
        </w:tc>
        <w:tc>
          <w:tcPr>
            <w:tcW w:w="743" w:type="pct"/>
            <w:tcBorders>
              <w:tl2br w:val="nil"/>
              <w:tr2bl w:val="nil"/>
            </w:tcBorders>
            <w:tcMar>
              <w:top w:w="0" w:type="dxa"/>
              <w:left w:w="108" w:type="dxa"/>
              <w:bottom w:w="0" w:type="dxa"/>
              <w:right w:w="108" w:type="dxa"/>
            </w:tcMar>
            <w:vAlign w:val="center"/>
          </w:tcPr>
          <w:p w14:paraId="47540AFC">
            <w:pPr>
              <w:spacing w:line="400" w:lineRule="atLeast"/>
              <w:jc w:val="center"/>
              <w:rPr>
                <w:rFonts w:ascii="Times New Roman" w:hAnsi="Times New Roman" w:eastAsia="宋体" w:cs="Times New Roman"/>
              </w:rPr>
            </w:pPr>
          </w:p>
        </w:tc>
        <w:tc>
          <w:tcPr>
            <w:tcW w:w="661" w:type="pct"/>
            <w:tcBorders>
              <w:tl2br w:val="nil"/>
              <w:tr2bl w:val="nil"/>
            </w:tcBorders>
            <w:tcMar>
              <w:top w:w="0" w:type="dxa"/>
              <w:left w:w="108" w:type="dxa"/>
              <w:bottom w:w="0" w:type="dxa"/>
              <w:right w:w="108" w:type="dxa"/>
            </w:tcMar>
            <w:vAlign w:val="center"/>
          </w:tcPr>
          <w:p w14:paraId="7E364BF8">
            <w:pPr>
              <w:spacing w:line="400" w:lineRule="atLeast"/>
              <w:jc w:val="center"/>
              <w:rPr>
                <w:rFonts w:ascii="Times New Roman" w:hAnsi="Times New Roman" w:eastAsia="宋体" w:cs="Times New Roman"/>
              </w:rPr>
            </w:pPr>
          </w:p>
        </w:tc>
        <w:tc>
          <w:tcPr>
            <w:tcW w:w="1200" w:type="pct"/>
            <w:tcBorders>
              <w:tl2br w:val="nil"/>
              <w:tr2bl w:val="nil"/>
            </w:tcBorders>
            <w:tcMar>
              <w:top w:w="0" w:type="dxa"/>
              <w:left w:w="108" w:type="dxa"/>
              <w:bottom w:w="0" w:type="dxa"/>
              <w:right w:w="108" w:type="dxa"/>
            </w:tcMar>
            <w:vAlign w:val="center"/>
          </w:tcPr>
          <w:p w14:paraId="040D74EA">
            <w:pPr>
              <w:spacing w:line="400" w:lineRule="atLeast"/>
              <w:jc w:val="center"/>
              <w:rPr>
                <w:rFonts w:ascii="Times New Roman" w:hAnsi="Times New Roman" w:eastAsia="宋体" w:cs="Times New Roman"/>
              </w:rPr>
            </w:pPr>
          </w:p>
        </w:tc>
        <w:tc>
          <w:tcPr>
            <w:tcW w:w="535" w:type="pct"/>
            <w:tcBorders>
              <w:tl2br w:val="nil"/>
              <w:tr2bl w:val="nil"/>
            </w:tcBorders>
            <w:tcMar>
              <w:top w:w="0" w:type="dxa"/>
              <w:left w:w="108" w:type="dxa"/>
              <w:bottom w:w="0" w:type="dxa"/>
              <w:right w:w="108" w:type="dxa"/>
            </w:tcMar>
            <w:vAlign w:val="center"/>
          </w:tcPr>
          <w:p w14:paraId="134AE663">
            <w:pPr>
              <w:spacing w:line="400" w:lineRule="atLeast"/>
              <w:jc w:val="center"/>
              <w:rPr>
                <w:rFonts w:ascii="Times New Roman" w:hAnsi="Times New Roman" w:eastAsia="宋体" w:cs="Times New Roman"/>
              </w:rPr>
            </w:pPr>
          </w:p>
        </w:tc>
      </w:tr>
      <w:tr w14:paraId="1E051BF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368" w:type="pct"/>
            <w:tcBorders>
              <w:tl2br w:val="nil"/>
              <w:tr2bl w:val="nil"/>
            </w:tcBorders>
            <w:tcMar>
              <w:top w:w="0" w:type="dxa"/>
              <w:left w:w="108" w:type="dxa"/>
              <w:bottom w:w="0" w:type="dxa"/>
              <w:right w:w="108" w:type="dxa"/>
            </w:tcMar>
            <w:vAlign w:val="center"/>
          </w:tcPr>
          <w:p w14:paraId="1A190D4C">
            <w:pPr>
              <w:spacing w:line="400" w:lineRule="atLeast"/>
              <w:jc w:val="center"/>
              <w:rPr>
                <w:rFonts w:ascii="Times New Roman" w:hAnsi="Times New Roman" w:eastAsia="宋体" w:cs="Times New Roman"/>
              </w:rPr>
            </w:pPr>
          </w:p>
        </w:tc>
        <w:tc>
          <w:tcPr>
            <w:tcW w:w="408" w:type="pct"/>
            <w:tcBorders>
              <w:tl2br w:val="nil"/>
              <w:tr2bl w:val="nil"/>
            </w:tcBorders>
            <w:tcMar>
              <w:top w:w="0" w:type="dxa"/>
              <w:left w:w="108" w:type="dxa"/>
              <w:bottom w:w="0" w:type="dxa"/>
              <w:right w:w="108" w:type="dxa"/>
            </w:tcMar>
            <w:vAlign w:val="center"/>
          </w:tcPr>
          <w:p w14:paraId="4E1FE058">
            <w:pPr>
              <w:spacing w:line="400" w:lineRule="atLeast"/>
              <w:jc w:val="center"/>
              <w:rPr>
                <w:rFonts w:ascii="Times New Roman" w:hAnsi="Times New Roman" w:eastAsia="宋体" w:cs="Times New Roman"/>
              </w:rPr>
            </w:pPr>
          </w:p>
        </w:tc>
        <w:tc>
          <w:tcPr>
            <w:tcW w:w="1080" w:type="pct"/>
            <w:tcBorders>
              <w:tl2br w:val="nil"/>
              <w:tr2bl w:val="nil"/>
            </w:tcBorders>
            <w:tcMar>
              <w:top w:w="0" w:type="dxa"/>
              <w:left w:w="108" w:type="dxa"/>
              <w:bottom w:w="0" w:type="dxa"/>
              <w:right w:w="108" w:type="dxa"/>
            </w:tcMar>
            <w:vAlign w:val="center"/>
          </w:tcPr>
          <w:p w14:paraId="37EE719A">
            <w:pPr>
              <w:spacing w:line="400" w:lineRule="atLeast"/>
              <w:jc w:val="center"/>
              <w:rPr>
                <w:rFonts w:ascii="Times New Roman" w:hAnsi="Times New Roman" w:eastAsia="宋体" w:cs="Times New Roman"/>
              </w:rPr>
            </w:pPr>
          </w:p>
        </w:tc>
        <w:tc>
          <w:tcPr>
            <w:tcW w:w="743" w:type="pct"/>
            <w:tcBorders>
              <w:tl2br w:val="nil"/>
              <w:tr2bl w:val="nil"/>
            </w:tcBorders>
            <w:tcMar>
              <w:top w:w="0" w:type="dxa"/>
              <w:left w:w="108" w:type="dxa"/>
              <w:bottom w:w="0" w:type="dxa"/>
              <w:right w:w="108" w:type="dxa"/>
            </w:tcMar>
            <w:vAlign w:val="center"/>
          </w:tcPr>
          <w:p w14:paraId="5188EE6C">
            <w:pPr>
              <w:spacing w:line="400" w:lineRule="atLeast"/>
              <w:jc w:val="center"/>
              <w:rPr>
                <w:rFonts w:ascii="Times New Roman" w:hAnsi="Times New Roman" w:eastAsia="宋体" w:cs="Times New Roman"/>
              </w:rPr>
            </w:pPr>
          </w:p>
        </w:tc>
        <w:tc>
          <w:tcPr>
            <w:tcW w:w="661" w:type="pct"/>
            <w:tcBorders>
              <w:tl2br w:val="nil"/>
              <w:tr2bl w:val="nil"/>
            </w:tcBorders>
            <w:tcMar>
              <w:top w:w="0" w:type="dxa"/>
              <w:left w:w="108" w:type="dxa"/>
              <w:bottom w:w="0" w:type="dxa"/>
              <w:right w:w="108" w:type="dxa"/>
            </w:tcMar>
            <w:vAlign w:val="center"/>
          </w:tcPr>
          <w:p w14:paraId="0D2F7809">
            <w:pPr>
              <w:spacing w:line="400" w:lineRule="atLeast"/>
              <w:jc w:val="center"/>
              <w:rPr>
                <w:rFonts w:ascii="Times New Roman" w:hAnsi="Times New Roman" w:eastAsia="宋体" w:cs="Times New Roman"/>
              </w:rPr>
            </w:pPr>
          </w:p>
        </w:tc>
        <w:tc>
          <w:tcPr>
            <w:tcW w:w="1200" w:type="pct"/>
            <w:tcBorders>
              <w:tl2br w:val="nil"/>
              <w:tr2bl w:val="nil"/>
            </w:tcBorders>
            <w:tcMar>
              <w:top w:w="0" w:type="dxa"/>
              <w:left w:w="108" w:type="dxa"/>
              <w:bottom w:w="0" w:type="dxa"/>
              <w:right w:w="108" w:type="dxa"/>
            </w:tcMar>
            <w:vAlign w:val="center"/>
          </w:tcPr>
          <w:p w14:paraId="711C99BA">
            <w:pPr>
              <w:spacing w:line="400" w:lineRule="atLeast"/>
              <w:jc w:val="center"/>
              <w:rPr>
                <w:rFonts w:ascii="Times New Roman" w:hAnsi="Times New Roman" w:eastAsia="宋体" w:cs="Times New Roman"/>
              </w:rPr>
            </w:pPr>
          </w:p>
        </w:tc>
        <w:tc>
          <w:tcPr>
            <w:tcW w:w="535" w:type="pct"/>
            <w:tcBorders>
              <w:tl2br w:val="nil"/>
              <w:tr2bl w:val="nil"/>
            </w:tcBorders>
            <w:tcMar>
              <w:top w:w="0" w:type="dxa"/>
              <w:left w:w="108" w:type="dxa"/>
              <w:bottom w:w="0" w:type="dxa"/>
              <w:right w:w="108" w:type="dxa"/>
            </w:tcMar>
            <w:vAlign w:val="center"/>
          </w:tcPr>
          <w:p w14:paraId="71427811">
            <w:pPr>
              <w:spacing w:line="400" w:lineRule="atLeast"/>
              <w:jc w:val="center"/>
              <w:rPr>
                <w:rFonts w:ascii="Times New Roman" w:hAnsi="Times New Roman" w:eastAsia="宋体" w:cs="Times New Roman"/>
              </w:rPr>
            </w:pPr>
          </w:p>
        </w:tc>
      </w:tr>
      <w:tr w14:paraId="3709C8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368" w:type="pct"/>
            <w:tcBorders>
              <w:tl2br w:val="nil"/>
              <w:tr2bl w:val="nil"/>
            </w:tcBorders>
            <w:tcMar>
              <w:top w:w="0" w:type="dxa"/>
              <w:left w:w="108" w:type="dxa"/>
              <w:bottom w:w="0" w:type="dxa"/>
              <w:right w:w="108" w:type="dxa"/>
            </w:tcMar>
            <w:vAlign w:val="center"/>
          </w:tcPr>
          <w:p w14:paraId="450F7D78">
            <w:pPr>
              <w:spacing w:line="400" w:lineRule="atLeast"/>
              <w:jc w:val="center"/>
              <w:rPr>
                <w:rFonts w:ascii="Times New Roman" w:hAnsi="Times New Roman" w:eastAsia="宋体" w:cs="Times New Roman"/>
              </w:rPr>
            </w:pPr>
          </w:p>
        </w:tc>
        <w:tc>
          <w:tcPr>
            <w:tcW w:w="408" w:type="pct"/>
            <w:tcBorders>
              <w:tl2br w:val="nil"/>
              <w:tr2bl w:val="nil"/>
            </w:tcBorders>
            <w:tcMar>
              <w:top w:w="0" w:type="dxa"/>
              <w:left w:w="108" w:type="dxa"/>
              <w:bottom w:w="0" w:type="dxa"/>
              <w:right w:w="108" w:type="dxa"/>
            </w:tcMar>
            <w:vAlign w:val="center"/>
          </w:tcPr>
          <w:p w14:paraId="7E4D4626">
            <w:pPr>
              <w:spacing w:line="400" w:lineRule="atLeast"/>
              <w:jc w:val="center"/>
              <w:rPr>
                <w:rFonts w:ascii="Times New Roman" w:hAnsi="Times New Roman" w:eastAsia="宋体" w:cs="Times New Roman"/>
              </w:rPr>
            </w:pPr>
          </w:p>
        </w:tc>
        <w:tc>
          <w:tcPr>
            <w:tcW w:w="1080" w:type="pct"/>
            <w:tcBorders>
              <w:tl2br w:val="nil"/>
              <w:tr2bl w:val="nil"/>
            </w:tcBorders>
            <w:tcMar>
              <w:top w:w="0" w:type="dxa"/>
              <w:left w:w="108" w:type="dxa"/>
              <w:bottom w:w="0" w:type="dxa"/>
              <w:right w:w="108" w:type="dxa"/>
            </w:tcMar>
            <w:vAlign w:val="center"/>
          </w:tcPr>
          <w:p w14:paraId="75890CAC">
            <w:pPr>
              <w:spacing w:line="400" w:lineRule="atLeast"/>
              <w:jc w:val="center"/>
              <w:rPr>
                <w:rFonts w:ascii="Times New Roman" w:hAnsi="Times New Roman" w:eastAsia="宋体" w:cs="Times New Roman"/>
              </w:rPr>
            </w:pPr>
          </w:p>
        </w:tc>
        <w:tc>
          <w:tcPr>
            <w:tcW w:w="743" w:type="pct"/>
            <w:tcBorders>
              <w:tl2br w:val="nil"/>
              <w:tr2bl w:val="nil"/>
            </w:tcBorders>
            <w:tcMar>
              <w:top w:w="0" w:type="dxa"/>
              <w:left w:w="108" w:type="dxa"/>
              <w:bottom w:w="0" w:type="dxa"/>
              <w:right w:w="108" w:type="dxa"/>
            </w:tcMar>
            <w:vAlign w:val="center"/>
          </w:tcPr>
          <w:p w14:paraId="25B81FD7">
            <w:pPr>
              <w:spacing w:line="400" w:lineRule="atLeast"/>
              <w:jc w:val="center"/>
              <w:rPr>
                <w:rFonts w:ascii="Times New Roman" w:hAnsi="Times New Roman" w:eastAsia="宋体" w:cs="Times New Roman"/>
              </w:rPr>
            </w:pPr>
          </w:p>
        </w:tc>
        <w:tc>
          <w:tcPr>
            <w:tcW w:w="661" w:type="pct"/>
            <w:tcBorders>
              <w:tl2br w:val="nil"/>
              <w:tr2bl w:val="nil"/>
            </w:tcBorders>
            <w:tcMar>
              <w:top w:w="0" w:type="dxa"/>
              <w:left w:w="108" w:type="dxa"/>
              <w:bottom w:w="0" w:type="dxa"/>
              <w:right w:w="108" w:type="dxa"/>
            </w:tcMar>
            <w:vAlign w:val="center"/>
          </w:tcPr>
          <w:p w14:paraId="23AA509A">
            <w:pPr>
              <w:spacing w:line="400" w:lineRule="atLeast"/>
              <w:jc w:val="center"/>
              <w:rPr>
                <w:rFonts w:ascii="Times New Roman" w:hAnsi="Times New Roman" w:eastAsia="宋体" w:cs="Times New Roman"/>
              </w:rPr>
            </w:pPr>
          </w:p>
        </w:tc>
        <w:tc>
          <w:tcPr>
            <w:tcW w:w="1200" w:type="pct"/>
            <w:tcBorders>
              <w:tl2br w:val="nil"/>
              <w:tr2bl w:val="nil"/>
            </w:tcBorders>
            <w:tcMar>
              <w:top w:w="0" w:type="dxa"/>
              <w:left w:w="108" w:type="dxa"/>
              <w:bottom w:w="0" w:type="dxa"/>
              <w:right w:w="108" w:type="dxa"/>
            </w:tcMar>
            <w:vAlign w:val="center"/>
          </w:tcPr>
          <w:p w14:paraId="57E2E116">
            <w:pPr>
              <w:spacing w:line="400" w:lineRule="atLeast"/>
              <w:jc w:val="center"/>
              <w:rPr>
                <w:rFonts w:ascii="Times New Roman" w:hAnsi="Times New Roman" w:eastAsia="宋体" w:cs="Times New Roman"/>
              </w:rPr>
            </w:pPr>
          </w:p>
        </w:tc>
        <w:tc>
          <w:tcPr>
            <w:tcW w:w="535" w:type="pct"/>
            <w:tcBorders>
              <w:tl2br w:val="nil"/>
              <w:tr2bl w:val="nil"/>
            </w:tcBorders>
            <w:tcMar>
              <w:top w:w="0" w:type="dxa"/>
              <w:left w:w="108" w:type="dxa"/>
              <w:bottom w:w="0" w:type="dxa"/>
              <w:right w:w="108" w:type="dxa"/>
            </w:tcMar>
            <w:vAlign w:val="center"/>
          </w:tcPr>
          <w:p w14:paraId="35E1EB39">
            <w:pPr>
              <w:spacing w:line="400" w:lineRule="atLeast"/>
              <w:jc w:val="center"/>
              <w:rPr>
                <w:rFonts w:ascii="Times New Roman" w:hAnsi="Times New Roman" w:eastAsia="宋体" w:cs="Times New Roman"/>
              </w:rPr>
            </w:pPr>
          </w:p>
        </w:tc>
      </w:tr>
      <w:tr w14:paraId="182903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368" w:type="pct"/>
            <w:tcBorders>
              <w:tl2br w:val="nil"/>
              <w:tr2bl w:val="nil"/>
            </w:tcBorders>
            <w:tcMar>
              <w:top w:w="0" w:type="dxa"/>
              <w:left w:w="108" w:type="dxa"/>
              <w:bottom w:w="0" w:type="dxa"/>
              <w:right w:w="108" w:type="dxa"/>
            </w:tcMar>
            <w:vAlign w:val="center"/>
          </w:tcPr>
          <w:p w14:paraId="0D603ADF">
            <w:pPr>
              <w:spacing w:line="400" w:lineRule="atLeast"/>
              <w:jc w:val="center"/>
              <w:rPr>
                <w:rFonts w:ascii="Times New Roman" w:hAnsi="Times New Roman" w:eastAsia="宋体" w:cs="Times New Roman"/>
              </w:rPr>
            </w:pPr>
          </w:p>
        </w:tc>
        <w:tc>
          <w:tcPr>
            <w:tcW w:w="408" w:type="pct"/>
            <w:tcBorders>
              <w:tl2br w:val="nil"/>
              <w:tr2bl w:val="nil"/>
            </w:tcBorders>
            <w:tcMar>
              <w:top w:w="0" w:type="dxa"/>
              <w:left w:w="108" w:type="dxa"/>
              <w:bottom w:w="0" w:type="dxa"/>
              <w:right w:w="108" w:type="dxa"/>
            </w:tcMar>
            <w:vAlign w:val="center"/>
          </w:tcPr>
          <w:p w14:paraId="3FBF2878">
            <w:pPr>
              <w:spacing w:line="400" w:lineRule="atLeast"/>
              <w:jc w:val="center"/>
              <w:rPr>
                <w:rFonts w:ascii="Times New Roman" w:hAnsi="Times New Roman" w:eastAsia="宋体" w:cs="Times New Roman"/>
              </w:rPr>
            </w:pPr>
          </w:p>
        </w:tc>
        <w:tc>
          <w:tcPr>
            <w:tcW w:w="1080" w:type="pct"/>
            <w:tcBorders>
              <w:tl2br w:val="nil"/>
              <w:tr2bl w:val="nil"/>
            </w:tcBorders>
            <w:tcMar>
              <w:top w:w="0" w:type="dxa"/>
              <w:left w:w="108" w:type="dxa"/>
              <w:bottom w:w="0" w:type="dxa"/>
              <w:right w:w="108" w:type="dxa"/>
            </w:tcMar>
            <w:vAlign w:val="center"/>
          </w:tcPr>
          <w:p w14:paraId="23806AEC">
            <w:pPr>
              <w:spacing w:line="400" w:lineRule="atLeast"/>
              <w:jc w:val="center"/>
              <w:rPr>
                <w:rFonts w:ascii="Times New Roman" w:hAnsi="Times New Roman" w:eastAsia="宋体" w:cs="Times New Roman"/>
              </w:rPr>
            </w:pPr>
          </w:p>
        </w:tc>
        <w:tc>
          <w:tcPr>
            <w:tcW w:w="743" w:type="pct"/>
            <w:tcBorders>
              <w:tl2br w:val="nil"/>
              <w:tr2bl w:val="nil"/>
            </w:tcBorders>
            <w:tcMar>
              <w:top w:w="0" w:type="dxa"/>
              <w:left w:w="108" w:type="dxa"/>
              <w:bottom w:w="0" w:type="dxa"/>
              <w:right w:w="108" w:type="dxa"/>
            </w:tcMar>
            <w:vAlign w:val="center"/>
          </w:tcPr>
          <w:p w14:paraId="1092A5B8">
            <w:pPr>
              <w:spacing w:line="400" w:lineRule="atLeast"/>
              <w:jc w:val="center"/>
              <w:rPr>
                <w:rFonts w:ascii="Times New Roman" w:hAnsi="Times New Roman" w:eastAsia="宋体" w:cs="Times New Roman"/>
              </w:rPr>
            </w:pPr>
          </w:p>
        </w:tc>
        <w:tc>
          <w:tcPr>
            <w:tcW w:w="661" w:type="pct"/>
            <w:tcBorders>
              <w:tl2br w:val="nil"/>
              <w:tr2bl w:val="nil"/>
            </w:tcBorders>
            <w:tcMar>
              <w:top w:w="0" w:type="dxa"/>
              <w:left w:w="108" w:type="dxa"/>
              <w:bottom w:w="0" w:type="dxa"/>
              <w:right w:w="108" w:type="dxa"/>
            </w:tcMar>
            <w:vAlign w:val="center"/>
          </w:tcPr>
          <w:p w14:paraId="64EC5058">
            <w:pPr>
              <w:spacing w:line="400" w:lineRule="atLeast"/>
              <w:jc w:val="center"/>
              <w:rPr>
                <w:rFonts w:ascii="Times New Roman" w:hAnsi="Times New Roman" w:eastAsia="宋体" w:cs="Times New Roman"/>
              </w:rPr>
            </w:pPr>
          </w:p>
        </w:tc>
        <w:tc>
          <w:tcPr>
            <w:tcW w:w="1200" w:type="pct"/>
            <w:tcBorders>
              <w:tl2br w:val="nil"/>
              <w:tr2bl w:val="nil"/>
            </w:tcBorders>
            <w:tcMar>
              <w:top w:w="0" w:type="dxa"/>
              <w:left w:w="108" w:type="dxa"/>
              <w:bottom w:w="0" w:type="dxa"/>
              <w:right w:w="108" w:type="dxa"/>
            </w:tcMar>
            <w:vAlign w:val="center"/>
          </w:tcPr>
          <w:p w14:paraId="58D32B44">
            <w:pPr>
              <w:spacing w:line="400" w:lineRule="atLeast"/>
              <w:jc w:val="center"/>
              <w:rPr>
                <w:rFonts w:ascii="Times New Roman" w:hAnsi="Times New Roman" w:eastAsia="宋体" w:cs="Times New Roman"/>
              </w:rPr>
            </w:pPr>
          </w:p>
        </w:tc>
        <w:tc>
          <w:tcPr>
            <w:tcW w:w="535" w:type="pct"/>
            <w:tcBorders>
              <w:tl2br w:val="nil"/>
              <w:tr2bl w:val="nil"/>
            </w:tcBorders>
            <w:tcMar>
              <w:top w:w="0" w:type="dxa"/>
              <w:left w:w="108" w:type="dxa"/>
              <w:bottom w:w="0" w:type="dxa"/>
              <w:right w:w="108" w:type="dxa"/>
            </w:tcMar>
            <w:vAlign w:val="center"/>
          </w:tcPr>
          <w:p w14:paraId="382FADBD">
            <w:pPr>
              <w:spacing w:line="400" w:lineRule="atLeast"/>
              <w:jc w:val="center"/>
              <w:rPr>
                <w:rFonts w:ascii="Times New Roman" w:hAnsi="Times New Roman" w:eastAsia="宋体" w:cs="Times New Roman"/>
              </w:rPr>
            </w:pPr>
          </w:p>
        </w:tc>
      </w:tr>
      <w:tr w14:paraId="265C60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c>
          <w:tcPr>
            <w:tcW w:w="368" w:type="pct"/>
            <w:tcBorders>
              <w:tl2br w:val="nil"/>
              <w:tr2bl w:val="nil"/>
            </w:tcBorders>
            <w:tcMar>
              <w:top w:w="0" w:type="dxa"/>
              <w:left w:w="108" w:type="dxa"/>
              <w:bottom w:w="0" w:type="dxa"/>
              <w:right w:w="108" w:type="dxa"/>
            </w:tcMar>
            <w:vAlign w:val="center"/>
          </w:tcPr>
          <w:p w14:paraId="788873E2">
            <w:pPr>
              <w:spacing w:line="400" w:lineRule="atLeast"/>
              <w:jc w:val="center"/>
              <w:rPr>
                <w:rFonts w:ascii="Times New Roman" w:hAnsi="Times New Roman" w:eastAsia="宋体" w:cs="Times New Roman"/>
              </w:rPr>
            </w:pPr>
          </w:p>
        </w:tc>
        <w:tc>
          <w:tcPr>
            <w:tcW w:w="408" w:type="pct"/>
            <w:tcBorders>
              <w:tl2br w:val="nil"/>
              <w:tr2bl w:val="nil"/>
            </w:tcBorders>
            <w:tcMar>
              <w:top w:w="0" w:type="dxa"/>
              <w:left w:w="108" w:type="dxa"/>
              <w:bottom w:w="0" w:type="dxa"/>
              <w:right w:w="108" w:type="dxa"/>
            </w:tcMar>
            <w:vAlign w:val="center"/>
          </w:tcPr>
          <w:p w14:paraId="25D2AEAC">
            <w:pPr>
              <w:spacing w:line="400" w:lineRule="atLeast"/>
              <w:jc w:val="center"/>
              <w:rPr>
                <w:rFonts w:ascii="Times New Roman" w:hAnsi="Times New Roman" w:eastAsia="宋体" w:cs="Times New Roman"/>
              </w:rPr>
            </w:pPr>
          </w:p>
        </w:tc>
        <w:tc>
          <w:tcPr>
            <w:tcW w:w="1080" w:type="pct"/>
            <w:tcBorders>
              <w:tl2br w:val="nil"/>
              <w:tr2bl w:val="nil"/>
            </w:tcBorders>
            <w:tcMar>
              <w:top w:w="0" w:type="dxa"/>
              <w:left w:w="108" w:type="dxa"/>
              <w:bottom w:w="0" w:type="dxa"/>
              <w:right w:w="108" w:type="dxa"/>
            </w:tcMar>
            <w:vAlign w:val="center"/>
          </w:tcPr>
          <w:p w14:paraId="1E83C2D8">
            <w:pPr>
              <w:spacing w:line="400" w:lineRule="atLeast"/>
              <w:jc w:val="center"/>
              <w:rPr>
                <w:rFonts w:ascii="Times New Roman" w:hAnsi="Times New Roman" w:eastAsia="宋体" w:cs="Times New Roman"/>
              </w:rPr>
            </w:pPr>
          </w:p>
        </w:tc>
        <w:tc>
          <w:tcPr>
            <w:tcW w:w="743" w:type="pct"/>
            <w:tcBorders>
              <w:tl2br w:val="nil"/>
              <w:tr2bl w:val="nil"/>
            </w:tcBorders>
            <w:tcMar>
              <w:top w:w="0" w:type="dxa"/>
              <w:left w:w="108" w:type="dxa"/>
              <w:bottom w:w="0" w:type="dxa"/>
              <w:right w:w="108" w:type="dxa"/>
            </w:tcMar>
            <w:vAlign w:val="center"/>
          </w:tcPr>
          <w:p w14:paraId="3FD6A173">
            <w:pPr>
              <w:spacing w:line="400" w:lineRule="atLeast"/>
              <w:jc w:val="center"/>
              <w:rPr>
                <w:rFonts w:ascii="Times New Roman" w:hAnsi="Times New Roman" w:eastAsia="宋体" w:cs="Times New Roman"/>
              </w:rPr>
            </w:pPr>
          </w:p>
        </w:tc>
        <w:tc>
          <w:tcPr>
            <w:tcW w:w="661" w:type="pct"/>
            <w:tcBorders>
              <w:tl2br w:val="nil"/>
              <w:tr2bl w:val="nil"/>
            </w:tcBorders>
            <w:tcMar>
              <w:top w:w="0" w:type="dxa"/>
              <w:left w:w="108" w:type="dxa"/>
              <w:bottom w:w="0" w:type="dxa"/>
              <w:right w:w="108" w:type="dxa"/>
            </w:tcMar>
            <w:vAlign w:val="center"/>
          </w:tcPr>
          <w:p w14:paraId="27FC8F79">
            <w:pPr>
              <w:spacing w:line="400" w:lineRule="atLeast"/>
              <w:jc w:val="center"/>
              <w:rPr>
                <w:rFonts w:ascii="Times New Roman" w:hAnsi="Times New Roman" w:eastAsia="宋体" w:cs="Times New Roman"/>
              </w:rPr>
            </w:pPr>
          </w:p>
        </w:tc>
        <w:tc>
          <w:tcPr>
            <w:tcW w:w="1200" w:type="pct"/>
            <w:tcBorders>
              <w:tl2br w:val="nil"/>
              <w:tr2bl w:val="nil"/>
            </w:tcBorders>
            <w:tcMar>
              <w:top w:w="0" w:type="dxa"/>
              <w:left w:w="108" w:type="dxa"/>
              <w:bottom w:w="0" w:type="dxa"/>
              <w:right w:w="108" w:type="dxa"/>
            </w:tcMar>
            <w:vAlign w:val="center"/>
          </w:tcPr>
          <w:p w14:paraId="1F18CE81">
            <w:pPr>
              <w:spacing w:line="400" w:lineRule="atLeast"/>
              <w:jc w:val="center"/>
              <w:rPr>
                <w:rFonts w:ascii="Times New Roman" w:hAnsi="Times New Roman" w:eastAsia="宋体" w:cs="Times New Roman"/>
              </w:rPr>
            </w:pPr>
          </w:p>
        </w:tc>
        <w:tc>
          <w:tcPr>
            <w:tcW w:w="535" w:type="pct"/>
            <w:tcBorders>
              <w:tl2br w:val="nil"/>
              <w:tr2bl w:val="nil"/>
            </w:tcBorders>
            <w:tcMar>
              <w:top w:w="0" w:type="dxa"/>
              <w:left w:w="108" w:type="dxa"/>
              <w:bottom w:w="0" w:type="dxa"/>
              <w:right w:w="108" w:type="dxa"/>
            </w:tcMar>
            <w:vAlign w:val="center"/>
          </w:tcPr>
          <w:p w14:paraId="15B6F186">
            <w:pPr>
              <w:spacing w:line="400" w:lineRule="atLeast"/>
              <w:jc w:val="center"/>
              <w:rPr>
                <w:rFonts w:ascii="Times New Roman" w:hAnsi="Times New Roman" w:eastAsia="宋体" w:cs="Times New Roman"/>
              </w:rPr>
            </w:pPr>
          </w:p>
        </w:tc>
      </w:tr>
    </w:tbl>
    <w:p w14:paraId="40E23E31">
      <w:pPr>
        <w:rPr>
          <w:rFonts w:ascii="Times New Roman" w:hAnsi="Times New Roman" w:eastAsia="宋体" w:cs="Times New Roman"/>
        </w:rPr>
      </w:pPr>
      <w:r>
        <w:rPr>
          <w:rFonts w:ascii="Times New Roman" w:hAnsi="Times New Roman" w:eastAsia="宋体" w:cs="Times New Roman"/>
        </w:rPr>
        <w:t xml:space="preserve">  </w:t>
      </w:r>
    </w:p>
    <w:p w14:paraId="4278BF35">
      <w:pPr>
        <w:rPr>
          <w:rFonts w:ascii="Times New Roman" w:hAnsi="Times New Roman" w:eastAsia="宋体" w:cs="Times New Roman"/>
        </w:rPr>
      </w:pPr>
      <w:r>
        <w:rPr>
          <w:rFonts w:ascii="仿宋_GB2312" w:hAnsi="仿宋_GB2312" w:eastAsia="仿宋_GB2312" w:cs="仿宋_GB2312"/>
          <w:b/>
          <w:bCs/>
          <w:szCs w:val="21"/>
        </w:rPr>
        <w:t>备注</w:t>
      </w:r>
      <w:r>
        <w:rPr>
          <w:rFonts w:ascii="仿宋_GB2312" w:hAnsi="仿宋_GB2312" w:eastAsia="仿宋_GB2312" w:cs="仿宋_GB2312"/>
          <w:szCs w:val="21"/>
        </w:rPr>
        <w:t>：货物的主要技术参数和技术指标可另页描述。</w:t>
      </w:r>
      <w:r>
        <w:rPr>
          <w:rFonts w:ascii="Times New Roman" w:hAnsi="Times New Roman" w:eastAsia="宋体" w:cs="Times New Roman"/>
        </w:rPr>
        <w:t xml:space="preserve"> </w:t>
      </w:r>
    </w:p>
    <w:p w14:paraId="2D4C3331">
      <w:pPr>
        <w:spacing w:line="360" w:lineRule="auto"/>
        <w:rPr>
          <w:rFonts w:ascii="Times New Roman" w:hAnsi="Times New Roman" w:eastAsia="宋体" w:cs="Times New Roman"/>
        </w:rPr>
      </w:pPr>
      <w:r>
        <w:rPr>
          <w:rFonts w:ascii="Times New Roman" w:hAnsi="Times New Roman" w:eastAsia="宋体" w:cs="Times New Roman"/>
          <w:szCs w:val="21"/>
        </w:rPr>
        <w:t xml:space="preserve">  </w:t>
      </w:r>
    </w:p>
    <w:p w14:paraId="5F549798">
      <w:pPr>
        <w:spacing w:line="360" w:lineRule="auto"/>
        <w:rPr>
          <w:rFonts w:ascii="Times New Roman" w:hAnsi="Times New Roman" w:eastAsia="宋体" w:cs="Times New Roman"/>
        </w:rPr>
      </w:pPr>
      <w:r>
        <w:rPr>
          <w:rFonts w:ascii="Times New Roman" w:hAnsi="Times New Roman" w:eastAsia="宋体" w:cs="Times New Roman"/>
          <w:szCs w:val="21"/>
        </w:rPr>
        <w:t xml:space="preserve">  </w:t>
      </w:r>
    </w:p>
    <w:p w14:paraId="4B489648">
      <w:pPr>
        <w:spacing w:before="50" w:line="360" w:lineRule="auto"/>
        <w:rPr>
          <w:rFonts w:ascii="Times New Roman" w:hAnsi="Times New Roman" w:eastAsia="宋体" w:cs="Times New Roman"/>
        </w:rPr>
      </w:pPr>
      <w:r>
        <w:rPr>
          <w:rFonts w:ascii="宋体" w:hAnsi="宋体" w:eastAsia="宋体" w:cs="宋体"/>
          <w:szCs w:val="21"/>
        </w:rPr>
        <w:t>投标人名称（单位章）：</w:t>
      </w:r>
      <w:r>
        <w:rPr>
          <w:rFonts w:ascii="Times New Roman" w:hAnsi="Times New Roman" w:eastAsia="宋体" w:cs="Times New Roman"/>
          <w:szCs w:val="21"/>
        </w:rPr>
        <w:t xml:space="preserve"> </w:t>
      </w:r>
    </w:p>
    <w:p w14:paraId="3ABA2FDC">
      <w:pPr>
        <w:spacing w:before="50" w:line="360" w:lineRule="auto"/>
        <w:rPr>
          <w:rFonts w:ascii="Times New Roman" w:hAnsi="Times New Roman" w:eastAsia="宋体" w:cs="Times New Roman"/>
        </w:rPr>
      </w:pPr>
      <w:r>
        <w:rPr>
          <w:rFonts w:ascii="宋体" w:hAnsi="宋体" w:eastAsia="宋体" w:cs="宋体"/>
          <w:szCs w:val="21"/>
        </w:rPr>
        <w:t>法定代表人或其授权的代理人(</w:t>
      </w:r>
      <w:r>
        <w:rPr>
          <w:rFonts w:hint="eastAsia" w:ascii="宋体" w:hAnsi="宋体" w:eastAsia="宋体" w:cs="宋体"/>
          <w:szCs w:val="21"/>
        </w:rPr>
        <w:t>签字或印章）</w:t>
      </w:r>
      <w:r>
        <w:rPr>
          <w:rFonts w:ascii="宋体" w:hAnsi="宋体" w:eastAsia="宋体" w:cs="宋体"/>
          <w:szCs w:val="21"/>
        </w:rPr>
        <w:t>：</w:t>
      </w:r>
      <w:r>
        <w:rPr>
          <w:rFonts w:ascii="Times New Roman" w:hAnsi="Times New Roman" w:eastAsia="宋体" w:cs="Times New Roman"/>
          <w:szCs w:val="21"/>
        </w:rPr>
        <w:t xml:space="preserve"> </w:t>
      </w:r>
    </w:p>
    <w:p w14:paraId="13CACD63">
      <w:pPr>
        <w:rPr>
          <w:rFonts w:ascii="Times New Roman" w:hAnsi="Times New Roman" w:eastAsia="宋体" w:cs="Times New Roman"/>
        </w:rPr>
      </w:pPr>
      <w:r>
        <w:rPr>
          <w:rFonts w:hint="eastAsia" w:ascii="宋体" w:hAnsi="宋体" w:eastAsia="宋体" w:cs="Times New Roman"/>
          <w:szCs w:val="22"/>
          <w:lang w:bidi="ar"/>
        </w:rPr>
        <w:t>日期：   年   月   日</w:t>
      </w:r>
      <w:bookmarkEnd w:id="192"/>
    </w:p>
    <w:bookmarkEnd w:id="193"/>
    <w:p w14:paraId="663606DC">
      <w:pPr>
        <w:rPr>
          <w:rFonts w:hint="eastAsia" w:ascii="宋体" w:hAnsi="宋体" w:eastAsia="宋体" w:cs="宋体"/>
          <w:b/>
          <w:bCs/>
          <w:sz w:val="32"/>
          <w:szCs w:val="21"/>
        </w:rPr>
      </w:pPr>
      <w:r>
        <w:rPr>
          <w:rFonts w:hint="eastAsia" w:ascii="宋体" w:hAnsi="宋体" w:eastAsia="宋体" w:cs="宋体"/>
          <w:b/>
          <w:bCs/>
          <w:sz w:val="32"/>
          <w:szCs w:val="21"/>
        </w:rPr>
        <w:br w:type="page"/>
      </w:r>
    </w:p>
    <w:p w14:paraId="41B21318">
      <w:pPr>
        <w:adjustRightInd w:val="0"/>
        <w:snapToGrid w:val="0"/>
        <w:spacing w:line="360" w:lineRule="auto"/>
        <w:jc w:val="center"/>
        <w:outlineLvl w:val="2"/>
        <w:rPr>
          <w:rFonts w:hint="eastAsia" w:ascii="宋体" w:hAnsi="宋体" w:eastAsia="黑体" w:cs="宋体"/>
          <w:b/>
          <w:bCs/>
          <w:sz w:val="28"/>
          <w:szCs w:val="28"/>
        </w:rPr>
      </w:pPr>
      <w:bookmarkStart w:id="195" w:name="OLE_LINK162"/>
      <w:bookmarkStart w:id="196" w:name="OLE_LINK226"/>
      <w:bookmarkStart w:id="197" w:name="OLE_LINK163"/>
      <w:r>
        <w:rPr>
          <w:rFonts w:hint="eastAsia" w:ascii="宋体" w:hAnsi="宋体" w:eastAsia="黑体" w:cs="宋体"/>
          <w:b/>
          <w:bCs/>
          <w:sz w:val="28"/>
          <w:szCs w:val="28"/>
        </w:rPr>
        <w:t>十</w:t>
      </w:r>
      <w:r>
        <w:rPr>
          <w:rFonts w:hint="eastAsia" w:ascii="宋体" w:hAnsi="宋体" w:eastAsia="黑体" w:cs="宋体"/>
          <w:b/>
          <w:bCs/>
          <w:sz w:val="28"/>
          <w:szCs w:val="28"/>
          <w:lang w:val="en-US" w:eastAsia="zh-CN"/>
        </w:rPr>
        <w:t>二</w:t>
      </w:r>
      <w:r>
        <w:rPr>
          <w:rFonts w:hint="eastAsia" w:ascii="宋体" w:hAnsi="宋体" w:eastAsia="黑体" w:cs="宋体"/>
          <w:b/>
          <w:bCs/>
          <w:sz w:val="28"/>
          <w:szCs w:val="28"/>
        </w:rPr>
        <w:t>、响应偏离表</w:t>
      </w:r>
      <w:bookmarkEnd w:id="195"/>
    </w:p>
    <w:bookmarkEnd w:id="196"/>
    <w:p w14:paraId="67934C25">
      <w:pPr>
        <w:adjustRightInd w:val="0"/>
        <w:snapToGrid w:val="0"/>
        <w:spacing w:before="161" w:beforeLines="50" w:line="360" w:lineRule="auto"/>
        <w:rPr>
          <w:rFonts w:hint="eastAsia" w:ascii="宋体" w:hAnsi="宋体" w:eastAsia="宋体" w:cs="宋体"/>
        </w:rPr>
      </w:pPr>
    </w:p>
    <w:p w14:paraId="18DD0BC6">
      <w:pPr>
        <w:keepNext/>
        <w:keepLines/>
        <w:adjustRightInd w:val="0"/>
        <w:snapToGrid w:val="0"/>
        <w:spacing w:line="360" w:lineRule="auto"/>
        <w:jc w:val="center"/>
        <w:outlineLvl w:val="2"/>
        <w:rPr>
          <w:rFonts w:hint="eastAsia" w:ascii="宋体" w:hAnsi="宋体" w:eastAsia="宋体" w:cs="宋体"/>
          <w:b/>
          <w:bCs/>
          <w:sz w:val="28"/>
          <w:szCs w:val="28"/>
        </w:rPr>
      </w:pPr>
      <w:bookmarkStart w:id="198" w:name="_Toc31026"/>
      <w:bookmarkStart w:id="199" w:name="_Toc22465"/>
      <w:bookmarkStart w:id="200" w:name="_Toc1343"/>
      <w:r>
        <w:rPr>
          <w:rFonts w:hint="eastAsia" w:ascii="宋体" w:hAnsi="宋体" w:eastAsia="宋体" w:cs="宋体"/>
          <w:b/>
          <w:bCs/>
          <w:sz w:val="28"/>
          <w:szCs w:val="28"/>
        </w:rPr>
        <w:t>（1）采购需求偏离表</w:t>
      </w:r>
      <w:bookmarkEnd w:id="198"/>
      <w:bookmarkEnd w:id="199"/>
      <w:bookmarkEnd w:id="200"/>
    </w:p>
    <w:p w14:paraId="731966B8">
      <w:pPr>
        <w:adjustRightInd w:val="0"/>
        <w:snapToGrid w:val="0"/>
        <w:spacing w:line="360" w:lineRule="auto"/>
        <w:ind w:left="-88" w:leftChars="-42"/>
        <w:jc w:val="center"/>
        <w:rPr>
          <w:rFonts w:hint="eastAsia" w:ascii="宋体" w:hAnsi="宋体" w:eastAsia="宋体" w:cs="宋体"/>
          <w:sz w:val="24"/>
        </w:rPr>
      </w:pPr>
    </w:p>
    <w:p w14:paraId="30869F19">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采购代理编号：</w:t>
      </w:r>
      <w:r>
        <w:rPr>
          <w:rFonts w:hint="eastAsia" w:ascii="宋体" w:hAnsi="宋体" w:eastAsia="宋体" w:cs="宋体"/>
          <w:szCs w:val="21"/>
          <w:u w:val="single"/>
        </w:rPr>
        <w:t xml:space="preserve">            </w:t>
      </w:r>
      <w:r>
        <w:rPr>
          <w:rFonts w:hint="eastAsia" w:ascii="宋体" w:hAnsi="宋体" w:eastAsia="宋体" w:cs="宋体"/>
          <w:szCs w:val="21"/>
        </w:rPr>
        <w:t xml:space="preserve">                       项目名称：</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37925E78">
      <w:pPr>
        <w:adjustRightInd w:val="0"/>
        <w:snapToGrid w:val="0"/>
        <w:spacing w:before="161" w:beforeLines="50" w:line="360" w:lineRule="auto"/>
        <w:rPr>
          <w:rFonts w:hint="eastAsia" w:ascii="宋体" w:hAnsi="宋体" w:eastAsia="宋体" w:cs="宋体"/>
          <w:spacing w:val="28"/>
          <w:szCs w:val="21"/>
        </w:rPr>
      </w:pPr>
      <w:r>
        <w:rPr>
          <w:rFonts w:hint="eastAsia" w:ascii="宋体" w:hAnsi="宋体" w:eastAsia="宋体" w:cs="宋体"/>
          <w:szCs w:val="21"/>
        </w:rPr>
        <w:t>包号：</w:t>
      </w:r>
      <w:r>
        <w:rPr>
          <w:rFonts w:hint="eastAsia" w:ascii="宋体" w:hAnsi="宋体" w:eastAsia="宋体" w:cs="宋体"/>
          <w:szCs w:val="21"/>
          <w:u w:val="single"/>
        </w:rPr>
        <w:t xml:space="preserve">              </w:t>
      </w:r>
      <w:r>
        <w:rPr>
          <w:rFonts w:hint="eastAsia" w:ascii="宋体" w:hAnsi="宋体" w:eastAsia="宋体" w:cs="宋体"/>
          <w:szCs w:val="21"/>
        </w:rPr>
        <w:t xml:space="preserve">                               包名称：</w:t>
      </w:r>
      <w:r>
        <w:rPr>
          <w:rFonts w:hint="eastAsia" w:ascii="宋体" w:hAnsi="宋体" w:eastAsia="宋体" w:cs="宋体"/>
          <w:szCs w:val="21"/>
          <w:u w:val="single"/>
        </w:rPr>
        <w:t xml:space="preserve">             </w:t>
      </w:r>
      <w:r>
        <w:rPr>
          <w:rFonts w:hint="eastAsia" w:ascii="宋体" w:hAnsi="宋体" w:eastAsia="宋体" w:cs="宋体"/>
          <w:szCs w:val="21"/>
        </w:rPr>
        <w:t xml:space="preserve"> </w:t>
      </w:r>
    </w:p>
    <w:tbl>
      <w:tblPr>
        <w:tblStyle w:val="2"/>
        <w:tblW w:w="901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737"/>
        <w:gridCol w:w="2410"/>
        <w:gridCol w:w="1985"/>
        <w:gridCol w:w="2126"/>
        <w:gridCol w:w="1756"/>
      </w:tblGrid>
      <w:tr w14:paraId="2E2B47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04" w:hRule="atLeast"/>
          <w:jc w:val="center"/>
        </w:trPr>
        <w:tc>
          <w:tcPr>
            <w:tcW w:w="737" w:type="dxa"/>
            <w:tcBorders>
              <w:tl2br w:val="nil"/>
              <w:tr2bl w:val="nil"/>
            </w:tcBorders>
            <w:noWrap/>
            <w:vAlign w:val="center"/>
          </w:tcPr>
          <w:p w14:paraId="053EFA03">
            <w:pPr>
              <w:adjustRightInd w:val="0"/>
              <w:snapToGrid w:val="0"/>
              <w:spacing w:before="50" w:line="360" w:lineRule="auto"/>
              <w:ind w:left="-88" w:leftChars="-42"/>
              <w:jc w:val="center"/>
              <w:rPr>
                <w:rFonts w:hint="eastAsia" w:ascii="宋体" w:hAnsi="宋体" w:eastAsia="宋体" w:cs="宋体"/>
                <w:szCs w:val="21"/>
              </w:rPr>
            </w:pPr>
            <w:r>
              <w:rPr>
                <w:rFonts w:hint="eastAsia" w:ascii="宋体" w:hAnsi="宋体" w:eastAsia="宋体" w:cs="宋体"/>
                <w:bCs/>
                <w:szCs w:val="21"/>
              </w:rPr>
              <w:t>序</w:t>
            </w:r>
            <w:r>
              <w:rPr>
                <w:rFonts w:hint="eastAsia" w:ascii="宋体" w:hAnsi="宋体" w:eastAsia="宋体" w:cs="宋体"/>
                <w:szCs w:val="21"/>
              </w:rPr>
              <w:t>号</w:t>
            </w:r>
          </w:p>
        </w:tc>
        <w:tc>
          <w:tcPr>
            <w:tcW w:w="2410" w:type="dxa"/>
            <w:tcBorders>
              <w:tl2br w:val="nil"/>
              <w:tr2bl w:val="nil"/>
            </w:tcBorders>
            <w:noWrap/>
            <w:vAlign w:val="center"/>
          </w:tcPr>
          <w:p w14:paraId="5C0A0574">
            <w:pPr>
              <w:adjustRightInd w:val="0"/>
              <w:snapToGrid w:val="0"/>
              <w:spacing w:before="50" w:line="360" w:lineRule="auto"/>
              <w:ind w:left="-88" w:leftChars="-42"/>
              <w:jc w:val="center"/>
              <w:rPr>
                <w:rFonts w:hint="eastAsia" w:ascii="宋体" w:hAnsi="宋体" w:eastAsia="宋体" w:cs="宋体"/>
                <w:szCs w:val="21"/>
              </w:rPr>
            </w:pPr>
            <w:r>
              <w:rPr>
                <w:rFonts w:hint="eastAsia" w:ascii="宋体" w:hAnsi="宋体" w:eastAsia="宋体" w:cs="宋体"/>
                <w:szCs w:val="21"/>
              </w:rPr>
              <w:t>招标文件章节</w:t>
            </w:r>
            <w:r>
              <w:rPr>
                <w:rFonts w:hint="eastAsia" w:ascii="宋体" w:hAnsi="宋体" w:eastAsia="宋体" w:cs="宋体"/>
                <w:bCs/>
                <w:szCs w:val="21"/>
              </w:rPr>
              <w:t>条</w:t>
            </w:r>
            <w:r>
              <w:rPr>
                <w:rFonts w:hint="eastAsia" w:ascii="宋体" w:hAnsi="宋体" w:eastAsia="宋体" w:cs="宋体"/>
                <w:szCs w:val="21"/>
              </w:rPr>
              <w:t>款号</w:t>
            </w:r>
          </w:p>
        </w:tc>
        <w:tc>
          <w:tcPr>
            <w:tcW w:w="1985" w:type="dxa"/>
            <w:tcBorders>
              <w:tl2br w:val="nil"/>
              <w:tr2bl w:val="nil"/>
            </w:tcBorders>
            <w:noWrap/>
          </w:tcPr>
          <w:p w14:paraId="07800E1B">
            <w:pPr>
              <w:adjustRightInd w:val="0"/>
              <w:snapToGrid w:val="0"/>
              <w:spacing w:before="50" w:line="360" w:lineRule="auto"/>
              <w:jc w:val="center"/>
              <w:rPr>
                <w:rFonts w:hint="eastAsia" w:ascii="宋体" w:hAnsi="宋体" w:eastAsia="宋体" w:cs="宋体"/>
              </w:rPr>
            </w:pPr>
            <w:r>
              <w:rPr>
                <w:rFonts w:hint="eastAsia" w:ascii="宋体" w:hAnsi="宋体" w:eastAsia="宋体" w:cs="宋体"/>
              </w:rPr>
              <w:t>招标文件要求</w:t>
            </w:r>
          </w:p>
        </w:tc>
        <w:tc>
          <w:tcPr>
            <w:tcW w:w="2126" w:type="dxa"/>
            <w:tcBorders>
              <w:tl2br w:val="nil"/>
              <w:tr2bl w:val="nil"/>
            </w:tcBorders>
            <w:noWrap/>
          </w:tcPr>
          <w:p w14:paraId="56A9E8EA">
            <w:pPr>
              <w:adjustRightInd w:val="0"/>
              <w:snapToGrid w:val="0"/>
              <w:spacing w:before="50" w:line="360" w:lineRule="auto"/>
              <w:jc w:val="center"/>
              <w:rPr>
                <w:rFonts w:hint="eastAsia" w:ascii="宋体" w:hAnsi="宋体" w:eastAsia="宋体" w:cs="宋体"/>
              </w:rPr>
            </w:pPr>
            <w:r>
              <w:rPr>
                <w:rFonts w:hint="eastAsia" w:ascii="宋体" w:hAnsi="宋体" w:eastAsia="宋体" w:cs="宋体"/>
              </w:rPr>
              <w:t>投标文件应答</w:t>
            </w:r>
          </w:p>
        </w:tc>
        <w:tc>
          <w:tcPr>
            <w:tcW w:w="1756" w:type="dxa"/>
            <w:tcBorders>
              <w:tl2br w:val="nil"/>
              <w:tr2bl w:val="nil"/>
            </w:tcBorders>
            <w:noWrap/>
            <w:vAlign w:val="center"/>
          </w:tcPr>
          <w:p w14:paraId="4F59414F">
            <w:pPr>
              <w:adjustRightInd w:val="0"/>
              <w:snapToGrid w:val="0"/>
              <w:spacing w:before="50" w:line="360" w:lineRule="auto"/>
              <w:ind w:left="-88" w:leftChars="-42"/>
              <w:jc w:val="center"/>
              <w:rPr>
                <w:rFonts w:hint="eastAsia" w:ascii="宋体" w:hAnsi="宋体" w:eastAsia="宋体" w:cs="宋体"/>
                <w:szCs w:val="21"/>
              </w:rPr>
            </w:pPr>
            <w:r>
              <w:rPr>
                <w:rFonts w:hint="eastAsia" w:ascii="宋体" w:hAnsi="宋体" w:eastAsia="宋体" w:cs="宋体"/>
                <w:szCs w:val="21"/>
              </w:rPr>
              <w:t>偏离说明</w:t>
            </w:r>
          </w:p>
        </w:tc>
      </w:tr>
      <w:tr w14:paraId="2743AE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07" w:hRule="atLeast"/>
          <w:jc w:val="center"/>
        </w:trPr>
        <w:tc>
          <w:tcPr>
            <w:tcW w:w="737" w:type="dxa"/>
            <w:tcBorders>
              <w:tl2br w:val="nil"/>
              <w:tr2bl w:val="nil"/>
            </w:tcBorders>
            <w:noWrap/>
            <w:vAlign w:val="center"/>
          </w:tcPr>
          <w:p w14:paraId="4D648326">
            <w:pPr>
              <w:adjustRightInd w:val="0"/>
              <w:snapToGrid w:val="0"/>
              <w:spacing w:before="50" w:line="360" w:lineRule="auto"/>
              <w:ind w:left="-88" w:leftChars="-42"/>
              <w:jc w:val="center"/>
              <w:rPr>
                <w:rFonts w:hint="eastAsia" w:ascii="宋体" w:hAnsi="宋体" w:eastAsia="宋体" w:cs="宋体"/>
                <w:szCs w:val="21"/>
              </w:rPr>
            </w:pPr>
          </w:p>
        </w:tc>
        <w:tc>
          <w:tcPr>
            <w:tcW w:w="2410" w:type="dxa"/>
            <w:tcBorders>
              <w:tl2br w:val="nil"/>
              <w:tr2bl w:val="nil"/>
            </w:tcBorders>
            <w:noWrap/>
            <w:vAlign w:val="center"/>
          </w:tcPr>
          <w:p w14:paraId="240838F9">
            <w:pPr>
              <w:adjustRightInd w:val="0"/>
              <w:snapToGrid w:val="0"/>
              <w:spacing w:before="50" w:line="360" w:lineRule="auto"/>
              <w:ind w:left="-88" w:leftChars="-42"/>
              <w:jc w:val="center"/>
              <w:rPr>
                <w:rFonts w:hint="eastAsia" w:ascii="宋体" w:hAnsi="宋体" w:eastAsia="宋体" w:cs="宋体"/>
                <w:szCs w:val="21"/>
              </w:rPr>
            </w:pPr>
          </w:p>
        </w:tc>
        <w:tc>
          <w:tcPr>
            <w:tcW w:w="1985" w:type="dxa"/>
            <w:tcBorders>
              <w:tl2br w:val="nil"/>
              <w:tr2bl w:val="nil"/>
            </w:tcBorders>
            <w:noWrap/>
            <w:vAlign w:val="center"/>
          </w:tcPr>
          <w:p w14:paraId="6A7E7F12">
            <w:pPr>
              <w:adjustRightInd w:val="0"/>
              <w:snapToGrid w:val="0"/>
              <w:spacing w:before="50" w:line="360" w:lineRule="auto"/>
              <w:ind w:left="-88" w:leftChars="-42"/>
              <w:jc w:val="center"/>
              <w:rPr>
                <w:rFonts w:hint="eastAsia" w:ascii="宋体" w:hAnsi="宋体" w:eastAsia="宋体" w:cs="宋体"/>
                <w:szCs w:val="21"/>
              </w:rPr>
            </w:pPr>
          </w:p>
        </w:tc>
        <w:tc>
          <w:tcPr>
            <w:tcW w:w="2126" w:type="dxa"/>
            <w:tcBorders>
              <w:tl2br w:val="nil"/>
              <w:tr2bl w:val="nil"/>
            </w:tcBorders>
            <w:noWrap/>
            <w:vAlign w:val="center"/>
          </w:tcPr>
          <w:p w14:paraId="11DDD4D8">
            <w:pPr>
              <w:adjustRightInd w:val="0"/>
              <w:snapToGrid w:val="0"/>
              <w:spacing w:before="50" w:line="360" w:lineRule="auto"/>
              <w:ind w:left="-88" w:leftChars="-42"/>
              <w:jc w:val="center"/>
              <w:rPr>
                <w:rFonts w:hint="eastAsia" w:ascii="宋体" w:hAnsi="宋体" w:eastAsia="宋体" w:cs="宋体"/>
                <w:szCs w:val="21"/>
              </w:rPr>
            </w:pPr>
          </w:p>
        </w:tc>
        <w:tc>
          <w:tcPr>
            <w:tcW w:w="1756" w:type="dxa"/>
            <w:tcBorders>
              <w:tl2br w:val="nil"/>
              <w:tr2bl w:val="nil"/>
            </w:tcBorders>
            <w:noWrap/>
            <w:vAlign w:val="center"/>
          </w:tcPr>
          <w:p w14:paraId="063B2D40">
            <w:pPr>
              <w:adjustRightInd w:val="0"/>
              <w:snapToGrid w:val="0"/>
              <w:spacing w:before="50" w:line="360" w:lineRule="auto"/>
              <w:ind w:left="-88" w:leftChars="-42"/>
              <w:jc w:val="center"/>
              <w:rPr>
                <w:rFonts w:hint="eastAsia" w:ascii="宋体" w:hAnsi="宋体" w:eastAsia="宋体" w:cs="宋体"/>
                <w:szCs w:val="21"/>
              </w:rPr>
            </w:pPr>
          </w:p>
        </w:tc>
      </w:tr>
      <w:tr w14:paraId="039C9B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05" w:hRule="atLeast"/>
          <w:jc w:val="center"/>
        </w:trPr>
        <w:tc>
          <w:tcPr>
            <w:tcW w:w="737" w:type="dxa"/>
            <w:tcBorders>
              <w:tl2br w:val="nil"/>
              <w:tr2bl w:val="nil"/>
            </w:tcBorders>
            <w:noWrap/>
            <w:vAlign w:val="center"/>
          </w:tcPr>
          <w:p w14:paraId="6A8515E0">
            <w:pPr>
              <w:adjustRightInd w:val="0"/>
              <w:snapToGrid w:val="0"/>
              <w:spacing w:before="50" w:line="360" w:lineRule="auto"/>
              <w:ind w:left="-88" w:leftChars="-42"/>
              <w:jc w:val="center"/>
              <w:rPr>
                <w:rFonts w:hint="eastAsia" w:ascii="宋体" w:hAnsi="宋体" w:eastAsia="宋体" w:cs="宋体"/>
                <w:szCs w:val="21"/>
              </w:rPr>
            </w:pPr>
          </w:p>
        </w:tc>
        <w:tc>
          <w:tcPr>
            <w:tcW w:w="2410" w:type="dxa"/>
            <w:tcBorders>
              <w:tl2br w:val="nil"/>
              <w:tr2bl w:val="nil"/>
            </w:tcBorders>
            <w:noWrap/>
            <w:vAlign w:val="center"/>
          </w:tcPr>
          <w:p w14:paraId="0EA52864">
            <w:pPr>
              <w:adjustRightInd w:val="0"/>
              <w:snapToGrid w:val="0"/>
              <w:spacing w:before="50" w:line="360" w:lineRule="auto"/>
              <w:ind w:left="-88" w:leftChars="-42"/>
              <w:jc w:val="center"/>
              <w:rPr>
                <w:rFonts w:hint="eastAsia" w:ascii="宋体" w:hAnsi="宋体" w:eastAsia="宋体" w:cs="宋体"/>
                <w:szCs w:val="21"/>
              </w:rPr>
            </w:pPr>
          </w:p>
        </w:tc>
        <w:tc>
          <w:tcPr>
            <w:tcW w:w="1985" w:type="dxa"/>
            <w:tcBorders>
              <w:tl2br w:val="nil"/>
              <w:tr2bl w:val="nil"/>
            </w:tcBorders>
            <w:noWrap/>
            <w:vAlign w:val="center"/>
          </w:tcPr>
          <w:p w14:paraId="710B3B06">
            <w:pPr>
              <w:adjustRightInd w:val="0"/>
              <w:snapToGrid w:val="0"/>
              <w:spacing w:before="50" w:line="360" w:lineRule="auto"/>
              <w:ind w:left="-88" w:leftChars="-42"/>
              <w:jc w:val="center"/>
              <w:rPr>
                <w:rFonts w:hint="eastAsia" w:ascii="宋体" w:hAnsi="宋体" w:eastAsia="宋体" w:cs="宋体"/>
                <w:szCs w:val="21"/>
              </w:rPr>
            </w:pPr>
          </w:p>
        </w:tc>
        <w:tc>
          <w:tcPr>
            <w:tcW w:w="2126" w:type="dxa"/>
            <w:tcBorders>
              <w:tl2br w:val="nil"/>
              <w:tr2bl w:val="nil"/>
            </w:tcBorders>
            <w:noWrap/>
            <w:vAlign w:val="center"/>
          </w:tcPr>
          <w:p w14:paraId="56E445F2">
            <w:pPr>
              <w:adjustRightInd w:val="0"/>
              <w:snapToGrid w:val="0"/>
              <w:spacing w:before="50" w:line="360" w:lineRule="auto"/>
              <w:ind w:left="-88" w:leftChars="-42"/>
              <w:jc w:val="center"/>
              <w:rPr>
                <w:rFonts w:hint="eastAsia" w:ascii="宋体" w:hAnsi="宋体" w:eastAsia="宋体" w:cs="宋体"/>
                <w:szCs w:val="21"/>
              </w:rPr>
            </w:pPr>
          </w:p>
        </w:tc>
        <w:tc>
          <w:tcPr>
            <w:tcW w:w="1756" w:type="dxa"/>
            <w:tcBorders>
              <w:tl2br w:val="nil"/>
              <w:tr2bl w:val="nil"/>
            </w:tcBorders>
            <w:noWrap/>
            <w:vAlign w:val="center"/>
          </w:tcPr>
          <w:p w14:paraId="0E5C3CFE">
            <w:pPr>
              <w:adjustRightInd w:val="0"/>
              <w:snapToGrid w:val="0"/>
              <w:spacing w:before="50" w:line="360" w:lineRule="auto"/>
              <w:ind w:left="-88" w:leftChars="-42"/>
              <w:jc w:val="center"/>
              <w:rPr>
                <w:rFonts w:hint="eastAsia" w:ascii="宋体" w:hAnsi="宋体" w:eastAsia="宋体" w:cs="宋体"/>
                <w:szCs w:val="21"/>
              </w:rPr>
            </w:pPr>
          </w:p>
        </w:tc>
      </w:tr>
      <w:tr w14:paraId="790FE9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05" w:hRule="atLeast"/>
          <w:jc w:val="center"/>
        </w:trPr>
        <w:tc>
          <w:tcPr>
            <w:tcW w:w="737" w:type="dxa"/>
            <w:tcBorders>
              <w:tl2br w:val="nil"/>
              <w:tr2bl w:val="nil"/>
            </w:tcBorders>
            <w:noWrap/>
            <w:vAlign w:val="center"/>
          </w:tcPr>
          <w:p w14:paraId="29FB56A3">
            <w:pPr>
              <w:adjustRightInd w:val="0"/>
              <w:snapToGrid w:val="0"/>
              <w:spacing w:before="50" w:line="360" w:lineRule="auto"/>
              <w:ind w:left="-88" w:leftChars="-42"/>
              <w:jc w:val="center"/>
              <w:rPr>
                <w:rFonts w:hint="eastAsia" w:ascii="宋体" w:hAnsi="宋体" w:eastAsia="宋体" w:cs="宋体"/>
                <w:szCs w:val="21"/>
              </w:rPr>
            </w:pPr>
          </w:p>
        </w:tc>
        <w:tc>
          <w:tcPr>
            <w:tcW w:w="2410" w:type="dxa"/>
            <w:tcBorders>
              <w:tl2br w:val="nil"/>
              <w:tr2bl w:val="nil"/>
            </w:tcBorders>
            <w:noWrap/>
            <w:vAlign w:val="center"/>
          </w:tcPr>
          <w:p w14:paraId="2A3773E6">
            <w:pPr>
              <w:adjustRightInd w:val="0"/>
              <w:snapToGrid w:val="0"/>
              <w:spacing w:before="50" w:line="360" w:lineRule="auto"/>
              <w:ind w:left="-88" w:leftChars="-42"/>
              <w:jc w:val="center"/>
              <w:rPr>
                <w:rFonts w:hint="eastAsia" w:ascii="宋体" w:hAnsi="宋体" w:eastAsia="宋体" w:cs="宋体"/>
                <w:szCs w:val="21"/>
              </w:rPr>
            </w:pPr>
          </w:p>
        </w:tc>
        <w:tc>
          <w:tcPr>
            <w:tcW w:w="1985" w:type="dxa"/>
            <w:tcBorders>
              <w:tl2br w:val="nil"/>
              <w:tr2bl w:val="nil"/>
            </w:tcBorders>
            <w:noWrap/>
            <w:vAlign w:val="center"/>
          </w:tcPr>
          <w:p w14:paraId="2C65F960">
            <w:pPr>
              <w:adjustRightInd w:val="0"/>
              <w:snapToGrid w:val="0"/>
              <w:spacing w:before="50" w:line="360" w:lineRule="auto"/>
              <w:ind w:left="-88" w:leftChars="-42"/>
              <w:jc w:val="center"/>
              <w:rPr>
                <w:rFonts w:hint="eastAsia" w:ascii="宋体" w:hAnsi="宋体" w:eastAsia="宋体" w:cs="宋体"/>
                <w:szCs w:val="21"/>
              </w:rPr>
            </w:pPr>
          </w:p>
        </w:tc>
        <w:tc>
          <w:tcPr>
            <w:tcW w:w="2126" w:type="dxa"/>
            <w:tcBorders>
              <w:tl2br w:val="nil"/>
              <w:tr2bl w:val="nil"/>
            </w:tcBorders>
            <w:noWrap/>
            <w:vAlign w:val="center"/>
          </w:tcPr>
          <w:p w14:paraId="5F1CA1E7">
            <w:pPr>
              <w:adjustRightInd w:val="0"/>
              <w:snapToGrid w:val="0"/>
              <w:spacing w:before="50" w:line="360" w:lineRule="auto"/>
              <w:ind w:left="-88" w:leftChars="-42"/>
              <w:jc w:val="center"/>
              <w:rPr>
                <w:rFonts w:hint="eastAsia" w:ascii="宋体" w:hAnsi="宋体" w:eastAsia="宋体" w:cs="宋体"/>
                <w:szCs w:val="21"/>
              </w:rPr>
            </w:pPr>
          </w:p>
        </w:tc>
        <w:tc>
          <w:tcPr>
            <w:tcW w:w="1756" w:type="dxa"/>
            <w:tcBorders>
              <w:tl2br w:val="nil"/>
              <w:tr2bl w:val="nil"/>
            </w:tcBorders>
            <w:noWrap/>
            <w:vAlign w:val="center"/>
          </w:tcPr>
          <w:p w14:paraId="687C0670">
            <w:pPr>
              <w:adjustRightInd w:val="0"/>
              <w:snapToGrid w:val="0"/>
              <w:spacing w:before="50" w:line="360" w:lineRule="auto"/>
              <w:ind w:left="-88" w:leftChars="-42"/>
              <w:jc w:val="center"/>
              <w:rPr>
                <w:rFonts w:hint="eastAsia" w:ascii="宋体" w:hAnsi="宋体" w:eastAsia="宋体" w:cs="宋体"/>
                <w:szCs w:val="21"/>
              </w:rPr>
            </w:pPr>
          </w:p>
        </w:tc>
      </w:tr>
      <w:tr w14:paraId="5C03B0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05" w:hRule="atLeast"/>
          <w:jc w:val="center"/>
        </w:trPr>
        <w:tc>
          <w:tcPr>
            <w:tcW w:w="737" w:type="dxa"/>
            <w:tcBorders>
              <w:tl2br w:val="nil"/>
              <w:tr2bl w:val="nil"/>
            </w:tcBorders>
            <w:noWrap/>
            <w:vAlign w:val="center"/>
          </w:tcPr>
          <w:p w14:paraId="72829163">
            <w:pPr>
              <w:adjustRightInd w:val="0"/>
              <w:snapToGrid w:val="0"/>
              <w:spacing w:before="50" w:line="360" w:lineRule="auto"/>
              <w:ind w:left="-88" w:leftChars="-42"/>
              <w:jc w:val="center"/>
              <w:rPr>
                <w:rFonts w:hint="eastAsia" w:ascii="宋体" w:hAnsi="宋体" w:eastAsia="宋体" w:cs="宋体"/>
                <w:szCs w:val="21"/>
              </w:rPr>
            </w:pPr>
          </w:p>
        </w:tc>
        <w:tc>
          <w:tcPr>
            <w:tcW w:w="2410" w:type="dxa"/>
            <w:tcBorders>
              <w:tl2br w:val="nil"/>
              <w:tr2bl w:val="nil"/>
            </w:tcBorders>
            <w:noWrap/>
            <w:vAlign w:val="center"/>
          </w:tcPr>
          <w:p w14:paraId="16108352">
            <w:pPr>
              <w:adjustRightInd w:val="0"/>
              <w:snapToGrid w:val="0"/>
              <w:spacing w:before="50" w:line="360" w:lineRule="auto"/>
              <w:ind w:left="-88" w:leftChars="-42"/>
              <w:jc w:val="center"/>
              <w:rPr>
                <w:rFonts w:hint="eastAsia" w:ascii="宋体" w:hAnsi="宋体" w:eastAsia="宋体" w:cs="宋体"/>
                <w:szCs w:val="21"/>
              </w:rPr>
            </w:pPr>
          </w:p>
        </w:tc>
        <w:tc>
          <w:tcPr>
            <w:tcW w:w="1985" w:type="dxa"/>
            <w:tcBorders>
              <w:tl2br w:val="nil"/>
              <w:tr2bl w:val="nil"/>
            </w:tcBorders>
            <w:noWrap/>
            <w:vAlign w:val="center"/>
          </w:tcPr>
          <w:p w14:paraId="128A9A1D">
            <w:pPr>
              <w:adjustRightInd w:val="0"/>
              <w:snapToGrid w:val="0"/>
              <w:spacing w:before="50" w:line="360" w:lineRule="auto"/>
              <w:ind w:left="-88" w:leftChars="-42"/>
              <w:jc w:val="center"/>
              <w:rPr>
                <w:rFonts w:hint="eastAsia" w:ascii="宋体" w:hAnsi="宋体" w:eastAsia="宋体" w:cs="宋体"/>
                <w:szCs w:val="21"/>
              </w:rPr>
            </w:pPr>
          </w:p>
        </w:tc>
        <w:tc>
          <w:tcPr>
            <w:tcW w:w="2126" w:type="dxa"/>
            <w:tcBorders>
              <w:tl2br w:val="nil"/>
              <w:tr2bl w:val="nil"/>
            </w:tcBorders>
            <w:noWrap/>
            <w:vAlign w:val="center"/>
          </w:tcPr>
          <w:p w14:paraId="6A46FC49">
            <w:pPr>
              <w:adjustRightInd w:val="0"/>
              <w:snapToGrid w:val="0"/>
              <w:spacing w:before="50" w:line="360" w:lineRule="auto"/>
              <w:ind w:left="-88" w:leftChars="-42"/>
              <w:jc w:val="center"/>
              <w:rPr>
                <w:rFonts w:hint="eastAsia" w:ascii="宋体" w:hAnsi="宋体" w:eastAsia="宋体" w:cs="宋体"/>
                <w:szCs w:val="21"/>
              </w:rPr>
            </w:pPr>
          </w:p>
        </w:tc>
        <w:tc>
          <w:tcPr>
            <w:tcW w:w="1756" w:type="dxa"/>
            <w:tcBorders>
              <w:tl2br w:val="nil"/>
              <w:tr2bl w:val="nil"/>
            </w:tcBorders>
            <w:noWrap/>
            <w:vAlign w:val="center"/>
          </w:tcPr>
          <w:p w14:paraId="40496DBD">
            <w:pPr>
              <w:adjustRightInd w:val="0"/>
              <w:snapToGrid w:val="0"/>
              <w:spacing w:before="50" w:line="360" w:lineRule="auto"/>
              <w:ind w:left="-88" w:leftChars="-42"/>
              <w:jc w:val="center"/>
              <w:rPr>
                <w:rFonts w:hint="eastAsia" w:ascii="宋体" w:hAnsi="宋体" w:eastAsia="宋体" w:cs="宋体"/>
                <w:szCs w:val="21"/>
              </w:rPr>
            </w:pPr>
          </w:p>
        </w:tc>
      </w:tr>
      <w:tr w14:paraId="26B566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05" w:hRule="atLeast"/>
          <w:jc w:val="center"/>
        </w:trPr>
        <w:tc>
          <w:tcPr>
            <w:tcW w:w="737" w:type="dxa"/>
            <w:tcBorders>
              <w:tl2br w:val="nil"/>
              <w:tr2bl w:val="nil"/>
            </w:tcBorders>
            <w:noWrap/>
            <w:vAlign w:val="center"/>
          </w:tcPr>
          <w:p w14:paraId="14A05500">
            <w:pPr>
              <w:adjustRightInd w:val="0"/>
              <w:snapToGrid w:val="0"/>
              <w:spacing w:before="50" w:line="360" w:lineRule="auto"/>
              <w:ind w:left="-88" w:leftChars="-42"/>
              <w:jc w:val="center"/>
              <w:rPr>
                <w:rFonts w:hint="eastAsia" w:ascii="宋体" w:hAnsi="宋体" w:eastAsia="宋体" w:cs="宋体"/>
                <w:szCs w:val="21"/>
              </w:rPr>
            </w:pPr>
          </w:p>
        </w:tc>
        <w:tc>
          <w:tcPr>
            <w:tcW w:w="2410" w:type="dxa"/>
            <w:tcBorders>
              <w:tl2br w:val="nil"/>
              <w:tr2bl w:val="nil"/>
            </w:tcBorders>
            <w:noWrap/>
            <w:vAlign w:val="center"/>
          </w:tcPr>
          <w:p w14:paraId="65E98AA8">
            <w:pPr>
              <w:adjustRightInd w:val="0"/>
              <w:snapToGrid w:val="0"/>
              <w:spacing w:before="50" w:line="360" w:lineRule="auto"/>
              <w:ind w:left="-88" w:leftChars="-42"/>
              <w:jc w:val="center"/>
              <w:rPr>
                <w:rFonts w:hint="eastAsia" w:ascii="宋体" w:hAnsi="宋体" w:eastAsia="宋体" w:cs="宋体"/>
                <w:szCs w:val="21"/>
              </w:rPr>
            </w:pPr>
          </w:p>
        </w:tc>
        <w:tc>
          <w:tcPr>
            <w:tcW w:w="1985" w:type="dxa"/>
            <w:tcBorders>
              <w:tl2br w:val="nil"/>
              <w:tr2bl w:val="nil"/>
            </w:tcBorders>
            <w:noWrap/>
            <w:vAlign w:val="center"/>
          </w:tcPr>
          <w:p w14:paraId="4B794EEF">
            <w:pPr>
              <w:adjustRightInd w:val="0"/>
              <w:snapToGrid w:val="0"/>
              <w:spacing w:before="50" w:line="360" w:lineRule="auto"/>
              <w:ind w:left="-88" w:leftChars="-42"/>
              <w:jc w:val="center"/>
              <w:rPr>
                <w:rFonts w:hint="eastAsia" w:ascii="宋体" w:hAnsi="宋体" w:eastAsia="宋体" w:cs="宋体"/>
                <w:szCs w:val="21"/>
              </w:rPr>
            </w:pPr>
          </w:p>
        </w:tc>
        <w:tc>
          <w:tcPr>
            <w:tcW w:w="2126" w:type="dxa"/>
            <w:tcBorders>
              <w:tl2br w:val="nil"/>
              <w:tr2bl w:val="nil"/>
            </w:tcBorders>
            <w:noWrap/>
            <w:vAlign w:val="center"/>
          </w:tcPr>
          <w:p w14:paraId="07D602FD">
            <w:pPr>
              <w:adjustRightInd w:val="0"/>
              <w:snapToGrid w:val="0"/>
              <w:spacing w:before="50" w:line="360" w:lineRule="auto"/>
              <w:ind w:left="-88" w:leftChars="-42"/>
              <w:jc w:val="center"/>
              <w:rPr>
                <w:rFonts w:hint="eastAsia" w:ascii="宋体" w:hAnsi="宋体" w:eastAsia="宋体" w:cs="宋体"/>
                <w:szCs w:val="21"/>
              </w:rPr>
            </w:pPr>
          </w:p>
        </w:tc>
        <w:tc>
          <w:tcPr>
            <w:tcW w:w="1756" w:type="dxa"/>
            <w:tcBorders>
              <w:tl2br w:val="nil"/>
              <w:tr2bl w:val="nil"/>
            </w:tcBorders>
            <w:noWrap/>
            <w:vAlign w:val="center"/>
          </w:tcPr>
          <w:p w14:paraId="383D676C">
            <w:pPr>
              <w:adjustRightInd w:val="0"/>
              <w:snapToGrid w:val="0"/>
              <w:spacing w:before="50" w:line="360" w:lineRule="auto"/>
              <w:ind w:left="-88" w:leftChars="-42"/>
              <w:jc w:val="center"/>
              <w:rPr>
                <w:rFonts w:hint="eastAsia" w:ascii="宋体" w:hAnsi="宋体" w:eastAsia="宋体" w:cs="宋体"/>
                <w:szCs w:val="21"/>
              </w:rPr>
            </w:pPr>
          </w:p>
        </w:tc>
      </w:tr>
      <w:tr w14:paraId="2E98A1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05" w:hRule="atLeast"/>
          <w:jc w:val="center"/>
        </w:trPr>
        <w:tc>
          <w:tcPr>
            <w:tcW w:w="737" w:type="dxa"/>
            <w:tcBorders>
              <w:tl2br w:val="nil"/>
              <w:tr2bl w:val="nil"/>
            </w:tcBorders>
            <w:noWrap/>
            <w:vAlign w:val="center"/>
          </w:tcPr>
          <w:p w14:paraId="183BC535">
            <w:pPr>
              <w:adjustRightInd w:val="0"/>
              <w:snapToGrid w:val="0"/>
              <w:spacing w:before="50" w:line="360" w:lineRule="auto"/>
              <w:ind w:left="-88" w:leftChars="-42"/>
              <w:jc w:val="center"/>
              <w:rPr>
                <w:rFonts w:hint="eastAsia" w:ascii="宋体" w:hAnsi="宋体" w:eastAsia="宋体" w:cs="宋体"/>
                <w:szCs w:val="21"/>
              </w:rPr>
            </w:pPr>
          </w:p>
        </w:tc>
        <w:tc>
          <w:tcPr>
            <w:tcW w:w="2410" w:type="dxa"/>
            <w:tcBorders>
              <w:tl2br w:val="nil"/>
              <w:tr2bl w:val="nil"/>
            </w:tcBorders>
            <w:noWrap/>
            <w:vAlign w:val="center"/>
          </w:tcPr>
          <w:p w14:paraId="480953ED">
            <w:pPr>
              <w:adjustRightInd w:val="0"/>
              <w:snapToGrid w:val="0"/>
              <w:spacing w:before="50" w:line="360" w:lineRule="auto"/>
              <w:ind w:left="-88" w:leftChars="-42"/>
              <w:jc w:val="center"/>
              <w:rPr>
                <w:rFonts w:hint="eastAsia" w:ascii="宋体" w:hAnsi="宋体" w:eastAsia="宋体" w:cs="宋体"/>
                <w:szCs w:val="21"/>
              </w:rPr>
            </w:pPr>
          </w:p>
        </w:tc>
        <w:tc>
          <w:tcPr>
            <w:tcW w:w="1985" w:type="dxa"/>
            <w:tcBorders>
              <w:tl2br w:val="nil"/>
              <w:tr2bl w:val="nil"/>
            </w:tcBorders>
            <w:noWrap/>
            <w:vAlign w:val="center"/>
          </w:tcPr>
          <w:p w14:paraId="28E5847D">
            <w:pPr>
              <w:adjustRightInd w:val="0"/>
              <w:snapToGrid w:val="0"/>
              <w:spacing w:before="50" w:line="360" w:lineRule="auto"/>
              <w:ind w:left="-88" w:leftChars="-42"/>
              <w:jc w:val="center"/>
              <w:rPr>
                <w:rFonts w:hint="eastAsia" w:ascii="宋体" w:hAnsi="宋体" w:eastAsia="宋体" w:cs="宋体"/>
                <w:szCs w:val="21"/>
              </w:rPr>
            </w:pPr>
          </w:p>
        </w:tc>
        <w:tc>
          <w:tcPr>
            <w:tcW w:w="3882" w:type="dxa"/>
            <w:gridSpan w:val="2"/>
            <w:tcBorders>
              <w:tl2br w:val="nil"/>
              <w:tr2bl w:val="nil"/>
            </w:tcBorders>
            <w:noWrap/>
            <w:vAlign w:val="center"/>
          </w:tcPr>
          <w:p w14:paraId="08187DA4">
            <w:pPr>
              <w:adjustRightInd w:val="0"/>
              <w:snapToGrid w:val="0"/>
              <w:spacing w:before="50" w:line="360" w:lineRule="auto"/>
              <w:ind w:firstLine="422" w:firstLineChars="200"/>
              <w:rPr>
                <w:rFonts w:hint="eastAsia" w:ascii="宋体" w:hAnsi="宋体" w:eastAsia="宋体" w:cs="宋体"/>
                <w:szCs w:val="21"/>
              </w:rPr>
            </w:pPr>
            <w:r>
              <w:rPr>
                <w:rFonts w:hint="eastAsia" w:ascii="宋体" w:hAnsi="宋体" w:eastAsia="宋体" w:cs="宋体"/>
                <w:b/>
                <w:szCs w:val="21"/>
              </w:rPr>
              <w:t>投标人保证：除本采购需求偏离表列出的偏离外，我单位对招标文件的其他采购需求条款完全响应，无偏离。</w:t>
            </w:r>
          </w:p>
        </w:tc>
      </w:tr>
    </w:tbl>
    <w:p w14:paraId="308A7313">
      <w:pPr>
        <w:adjustRightInd w:val="0"/>
        <w:snapToGrid w:val="0"/>
        <w:spacing w:before="50" w:line="360" w:lineRule="auto"/>
        <w:ind w:left="-88" w:leftChars="-42"/>
        <w:rPr>
          <w:rFonts w:hint="eastAsia" w:ascii="宋体" w:hAnsi="宋体" w:eastAsia="宋体" w:cs="宋体"/>
          <w:szCs w:val="21"/>
        </w:rPr>
      </w:pPr>
      <w:r>
        <w:rPr>
          <w:rFonts w:hint="eastAsia" w:ascii="宋体" w:hAnsi="宋体" w:eastAsia="宋体" w:cs="宋体"/>
          <w:b/>
          <w:szCs w:val="21"/>
        </w:rPr>
        <w:t>备注</w:t>
      </w:r>
      <w:r>
        <w:rPr>
          <w:rFonts w:hint="eastAsia" w:ascii="宋体" w:hAnsi="宋体" w:eastAsia="宋体" w:cs="宋体"/>
          <w:szCs w:val="21"/>
        </w:rPr>
        <w:t>：（1）投标人应根据招标文件第五章“采购需求”填写本表；</w:t>
      </w:r>
    </w:p>
    <w:p w14:paraId="4A6D5A6C">
      <w:pPr>
        <w:adjustRightInd w:val="0"/>
        <w:snapToGrid w:val="0"/>
        <w:spacing w:before="50" w:line="360" w:lineRule="auto"/>
        <w:ind w:left="-88" w:leftChars="-42" w:firstLine="420" w:firstLineChars="200"/>
        <w:rPr>
          <w:rFonts w:hint="eastAsia" w:ascii="宋体" w:hAnsi="宋体" w:eastAsia="宋体" w:cs="宋体"/>
          <w:b/>
          <w:szCs w:val="21"/>
        </w:rPr>
      </w:pPr>
      <w:r>
        <w:rPr>
          <w:rFonts w:hint="eastAsia" w:ascii="宋体" w:hAnsi="宋体" w:eastAsia="宋体" w:cs="宋体"/>
          <w:szCs w:val="21"/>
        </w:rPr>
        <w:t>（2）</w:t>
      </w:r>
      <w:r>
        <w:rPr>
          <w:rFonts w:hint="eastAsia" w:ascii="宋体" w:hAnsi="宋体" w:eastAsia="宋体" w:cs="宋体"/>
          <w:b/>
          <w:szCs w:val="21"/>
        </w:rPr>
        <w:t>投标人如果对招标文件第五章“采购需求”的响应有偏离，应将偏离条款逐条如实应答，并作出说明；</w:t>
      </w:r>
    </w:p>
    <w:p w14:paraId="6032B5C0">
      <w:pPr>
        <w:adjustRightInd w:val="0"/>
        <w:snapToGrid w:val="0"/>
        <w:spacing w:before="50" w:line="360" w:lineRule="auto"/>
        <w:ind w:left="-88" w:leftChars="-42" w:firstLine="420" w:firstLineChars="200"/>
        <w:rPr>
          <w:rFonts w:hint="eastAsia" w:ascii="宋体" w:hAnsi="宋体" w:eastAsia="宋体" w:cs="宋体"/>
          <w:szCs w:val="21"/>
        </w:rPr>
      </w:pPr>
      <w:r>
        <w:rPr>
          <w:rFonts w:hint="eastAsia" w:ascii="宋体" w:hAnsi="宋体" w:eastAsia="宋体" w:cs="宋体"/>
          <w:szCs w:val="21"/>
        </w:rPr>
        <w:t>（3）如不提供此表，则视为投标人不满足招标文件第五章的所有条款要求，其</w:t>
      </w:r>
      <w:r>
        <w:rPr>
          <w:rFonts w:hint="eastAsia" w:ascii="宋体" w:hAnsi="宋体" w:eastAsia="宋体" w:cs="宋体"/>
          <w:b/>
          <w:szCs w:val="21"/>
        </w:rPr>
        <w:t>投标无效</w:t>
      </w:r>
      <w:r>
        <w:rPr>
          <w:rFonts w:hint="eastAsia" w:ascii="宋体" w:hAnsi="宋体" w:eastAsia="宋体" w:cs="宋体"/>
          <w:szCs w:val="21"/>
        </w:rPr>
        <w:t>。</w:t>
      </w:r>
    </w:p>
    <w:p w14:paraId="147382C2">
      <w:pPr>
        <w:adjustRightInd w:val="0"/>
        <w:snapToGrid w:val="0"/>
        <w:spacing w:before="50" w:line="360" w:lineRule="auto"/>
        <w:ind w:left="-88" w:leftChars="-42" w:firstLine="420" w:firstLineChars="200"/>
        <w:rPr>
          <w:rFonts w:hint="eastAsia" w:ascii="宋体" w:hAnsi="宋体" w:eastAsia="宋体" w:cs="宋体"/>
          <w:szCs w:val="21"/>
        </w:rPr>
      </w:pPr>
      <w:r>
        <w:rPr>
          <w:rFonts w:hint="eastAsia" w:ascii="宋体" w:hAnsi="宋体" w:eastAsia="宋体" w:cs="宋体"/>
          <w:szCs w:val="21"/>
        </w:rPr>
        <w:t>（4）在采购人与成交投标人签订合同时，如成交投标人未在投标文件“采购需求偏离表”中列出偏离说明，无论已发生或即将发生任何情形，均视为完全符合招标文件要求，并写入合同。若成交投标人在合同签订前，以上述事项为借口而不履行合同签订手续及执行合同，则视作拒绝与采购人签订合同。</w:t>
      </w:r>
    </w:p>
    <w:p w14:paraId="2E6C178E">
      <w:pPr>
        <w:adjustRightInd w:val="0"/>
        <w:snapToGrid w:val="0"/>
        <w:spacing w:before="50" w:line="360" w:lineRule="auto"/>
        <w:rPr>
          <w:rFonts w:hint="eastAsia" w:ascii="宋体" w:hAnsi="宋体" w:eastAsia="宋体" w:cs="宋体"/>
          <w:szCs w:val="21"/>
        </w:rPr>
      </w:pPr>
    </w:p>
    <w:p w14:paraId="03D07C94">
      <w:pPr>
        <w:adjustRightInd w:val="0"/>
        <w:snapToGrid w:val="0"/>
        <w:spacing w:before="50" w:line="360" w:lineRule="auto"/>
        <w:rPr>
          <w:rFonts w:hint="eastAsia" w:ascii="宋体" w:hAnsi="宋体" w:eastAsia="宋体" w:cs="宋体"/>
          <w:szCs w:val="21"/>
        </w:rPr>
      </w:pPr>
      <w:r>
        <w:rPr>
          <w:rFonts w:hint="eastAsia" w:ascii="宋体" w:hAnsi="宋体" w:eastAsia="宋体" w:cs="宋体"/>
          <w:szCs w:val="21"/>
        </w:rPr>
        <w:t>投标人名称（盖单位章）：</w:t>
      </w:r>
    </w:p>
    <w:p w14:paraId="7047F302">
      <w:pPr>
        <w:adjustRightInd w:val="0"/>
        <w:snapToGrid w:val="0"/>
        <w:spacing w:before="50" w:line="360" w:lineRule="auto"/>
        <w:rPr>
          <w:rFonts w:hint="eastAsia" w:ascii="宋体" w:hAnsi="宋体" w:eastAsia="宋体" w:cs="宋体"/>
          <w:szCs w:val="21"/>
        </w:rPr>
      </w:pPr>
      <w:r>
        <w:rPr>
          <w:rFonts w:hint="eastAsia" w:ascii="宋体" w:hAnsi="宋体" w:eastAsia="宋体" w:cs="宋体"/>
          <w:spacing w:val="-2"/>
          <w:kern w:val="0"/>
          <w:szCs w:val="21"/>
        </w:rPr>
        <w:t>法</w:t>
      </w:r>
      <w:r>
        <w:rPr>
          <w:rFonts w:hint="eastAsia" w:ascii="宋体" w:hAnsi="宋体" w:eastAsia="宋体" w:cs="宋体"/>
          <w:kern w:val="0"/>
          <w:szCs w:val="21"/>
        </w:rPr>
        <w:t>定</w:t>
      </w:r>
      <w:r>
        <w:rPr>
          <w:rFonts w:hint="eastAsia" w:ascii="宋体" w:hAnsi="宋体" w:eastAsia="宋体" w:cs="宋体"/>
          <w:spacing w:val="-2"/>
          <w:kern w:val="0"/>
          <w:szCs w:val="21"/>
        </w:rPr>
        <w:t>代</w:t>
      </w:r>
      <w:r>
        <w:rPr>
          <w:rFonts w:hint="eastAsia" w:ascii="宋体" w:hAnsi="宋体" w:eastAsia="宋体" w:cs="宋体"/>
          <w:kern w:val="0"/>
          <w:szCs w:val="21"/>
        </w:rPr>
        <w:t>表</w:t>
      </w:r>
      <w:r>
        <w:rPr>
          <w:rFonts w:hint="eastAsia" w:ascii="宋体" w:hAnsi="宋体" w:eastAsia="宋体" w:cs="宋体"/>
          <w:spacing w:val="-2"/>
          <w:kern w:val="0"/>
          <w:szCs w:val="21"/>
        </w:rPr>
        <w:t>人</w:t>
      </w:r>
      <w:r>
        <w:rPr>
          <w:rFonts w:hint="eastAsia" w:ascii="宋体" w:hAnsi="宋体" w:eastAsia="宋体" w:cs="宋体"/>
          <w:kern w:val="0"/>
          <w:szCs w:val="21"/>
        </w:rPr>
        <w:t>（</w:t>
      </w:r>
      <w:r>
        <w:rPr>
          <w:rFonts w:hint="eastAsia" w:ascii="宋体" w:hAnsi="宋体" w:eastAsia="宋体" w:cs="宋体"/>
          <w:spacing w:val="-2"/>
          <w:kern w:val="0"/>
          <w:szCs w:val="21"/>
        </w:rPr>
        <w:t>单</w:t>
      </w:r>
      <w:r>
        <w:rPr>
          <w:rFonts w:hint="eastAsia" w:ascii="宋体" w:hAnsi="宋体" w:eastAsia="宋体" w:cs="宋体"/>
          <w:kern w:val="0"/>
          <w:szCs w:val="21"/>
        </w:rPr>
        <w:t>位</w:t>
      </w:r>
      <w:r>
        <w:rPr>
          <w:rFonts w:hint="eastAsia" w:ascii="宋体" w:hAnsi="宋体" w:eastAsia="宋体" w:cs="宋体"/>
          <w:spacing w:val="-2"/>
          <w:kern w:val="0"/>
          <w:szCs w:val="21"/>
        </w:rPr>
        <w:t>负</w:t>
      </w:r>
      <w:r>
        <w:rPr>
          <w:rFonts w:hint="eastAsia" w:ascii="宋体" w:hAnsi="宋体" w:eastAsia="宋体" w:cs="宋体"/>
          <w:kern w:val="0"/>
          <w:szCs w:val="21"/>
        </w:rPr>
        <w:t>责人</w:t>
      </w:r>
      <w:r>
        <w:rPr>
          <w:rFonts w:hint="eastAsia" w:ascii="宋体" w:hAnsi="宋体" w:eastAsia="宋体" w:cs="宋体"/>
          <w:spacing w:val="-2"/>
          <w:kern w:val="0"/>
          <w:szCs w:val="21"/>
        </w:rPr>
        <w:t>）</w:t>
      </w:r>
      <w:r>
        <w:rPr>
          <w:rFonts w:hint="eastAsia" w:ascii="宋体" w:hAnsi="宋体" w:eastAsia="宋体" w:cs="宋体"/>
          <w:szCs w:val="21"/>
        </w:rPr>
        <w:t>或其授权的代理人（签字或印章）：</w:t>
      </w:r>
    </w:p>
    <w:p w14:paraId="13428B3E">
      <w:pPr>
        <w:adjustRightInd w:val="0"/>
        <w:snapToGrid w:val="0"/>
        <w:spacing w:line="360" w:lineRule="auto"/>
        <w:rPr>
          <w:rFonts w:hint="eastAsia" w:ascii="宋体" w:hAnsi="宋体" w:eastAsia="宋体" w:cs="宋体"/>
        </w:rPr>
      </w:pPr>
      <w:r>
        <w:rPr>
          <w:rFonts w:hint="eastAsia" w:ascii="宋体" w:hAnsi="宋体" w:eastAsia="宋体" w:cs="Times New Roman"/>
          <w:szCs w:val="22"/>
          <w:lang w:bidi="ar"/>
        </w:rPr>
        <w:t>日期：   年   月   日</w:t>
      </w:r>
    </w:p>
    <w:p w14:paraId="7AE47235">
      <w:pPr>
        <w:adjustRightInd w:val="0"/>
        <w:snapToGrid w:val="0"/>
        <w:spacing w:line="360" w:lineRule="auto"/>
        <w:rPr>
          <w:rFonts w:hint="eastAsia" w:ascii="宋体" w:hAnsi="宋体" w:eastAsia="宋体" w:cs="宋体"/>
          <w:szCs w:val="21"/>
        </w:rPr>
      </w:pPr>
    </w:p>
    <w:p w14:paraId="28FE4D4C">
      <w:pPr>
        <w:adjustRightInd w:val="0"/>
        <w:snapToGrid w:val="0"/>
        <w:spacing w:line="360" w:lineRule="auto"/>
        <w:rPr>
          <w:rFonts w:hint="eastAsia" w:ascii="宋体" w:hAnsi="宋体" w:cs="宋体"/>
          <w:sz w:val="28"/>
          <w:szCs w:val="28"/>
        </w:rPr>
        <w:sectPr>
          <w:footerReference r:id="rId8" w:type="default"/>
          <w:pgSz w:w="11905" w:h="16838"/>
          <w:pgMar w:top="1440" w:right="1587" w:bottom="1440" w:left="1587" w:header="1020" w:footer="567" w:gutter="0"/>
          <w:cols w:space="0" w:num="1"/>
          <w:docGrid w:type="lines" w:linePitch="323" w:charSpace="0"/>
        </w:sectPr>
      </w:pPr>
    </w:p>
    <w:p w14:paraId="3EE821C5">
      <w:pPr>
        <w:keepNext/>
        <w:keepLines/>
        <w:adjustRightInd w:val="0"/>
        <w:snapToGrid w:val="0"/>
        <w:spacing w:line="360" w:lineRule="auto"/>
        <w:jc w:val="center"/>
        <w:outlineLvl w:val="2"/>
        <w:rPr>
          <w:rFonts w:hint="eastAsia" w:ascii="宋体" w:hAnsi="宋体" w:eastAsia="宋体" w:cs="宋体"/>
          <w:b/>
          <w:bCs/>
          <w:sz w:val="28"/>
          <w:szCs w:val="28"/>
        </w:rPr>
      </w:pPr>
      <w:bookmarkStart w:id="201" w:name="_Toc25311"/>
      <w:bookmarkStart w:id="202" w:name="_Toc32303"/>
      <w:bookmarkStart w:id="203" w:name="_Toc3846"/>
      <w:bookmarkStart w:id="204" w:name="_Toc6946"/>
      <w:r>
        <w:rPr>
          <w:rFonts w:hint="eastAsia" w:ascii="宋体" w:hAnsi="宋体" w:eastAsia="宋体" w:cs="宋体"/>
          <w:b/>
          <w:bCs/>
          <w:sz w:val="28"/>
          <w:szCs w:val="28"/>
        </w:rPr>
        <w:t>（2）合同条款偏离表</w:t>
      </w:r>
      <w:bookmarkEnd w:id="201"/>
      <w:bookmarkEnd w:id="202"/>
      <w:bookmarkEnd w:id="203"/>
      <w:bookmarkEnd w:id="204"/>
    </w:p>
    <w:p w14:paraId="6A644F24">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采购代理编号：</w:t>
      </w:r>
      <w:r>
        <w:rPr>
          <w:rFonts w:hint="eastAsia" w:ascii="宋体" w:hAnsi="宋体" w:eastAsia="宋体" w:cs="宋体"/>
          <w:szCs w:val="21"/>
          <w:u w:val="single"/>
        </w:rPr>
        <w:t xml:space="preserve">            </w:t>
      </w:r>
      <w:r>
        <w:rPr>
          <w:rFonts w:hint="eastAsia" w:ascii="宋体" w:hAnsi="宋体" w:eastAsia="宋体" w:cs="宋体"/>
          <w:szCs w:val="21"/>
        </w:rPr>
        <w:t xml:space="preserve">                       项目名称：</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253D0A59">
      <w:pPr>
        <w:adjustRightInd w:val="0"/>
        <w:snapToGrid w:val="0"/>
        <w:spacing w:before="50" w:line="360" w:lineRule="auto"/>
        <w:rPr>
          <w:rFonts w:hint="eastAsia" w:ascii="宋体" w:hAnsi="宋体" w:eastAsia="宋体" w:cs="宋体"/>
          <w:b/>
          <w:bCs/>
          <w:szCs w:val="21"/>
          <w:u w:val="single"/>
        </w:rPr>
      </w:pPr>
      <w:r>
        <w:rPr>
          <w:rFonts w:hint="eastAsia" w:ascii="宋体" w:hAnsi="宋体" w:eastAsia="宋体" w:cs="宋体"/>
          <w:szCs w:val="21"/>
        </w:rPr>
        <w:t>包号：</w:t>
      </w:r>
      <w:r>
        <w:rPr>
          <w:rFonts w:hint="eastAsia" w:ascii="宋体" w:hAnsi="宋体" w:eastAsia="宋体" w:cs="宋体"/>
          <w:szCs w:val="21"/>
          <w:u w:val="single"/>
        </w:rPr>
        <w:t xml:space="preserve">              </w:t>
      </w:r>
      <w:r>
        <w:rPr>
          <w:rFonts w:hint="eastAsia" w:ascii="宋体" w:hAnsi="宋体" w:eastAsia="宋体" w:cs="宋体"/>
          <w:szCs w:val="21"/>
        </w:rPr>
        <w:t xml:space="preserve">                               包名称：</w:t>
      </w:r>
      <w:r>
        <w:rPr>
          <w:rFonts w:hint="eastAsia" w:ascii="宋体" w:hAnsi="宋体" w:eastAsia="宋体" w:cs="宋体"/>
          <w:szCs w:val="21"/>
          <w:u w:val="single"/>
        </w:rPr>
        <w:t xml:space="preserve">             </w:t>
      </w:r>
    </w:p>
    <w:tbl>
      <w:tblPr>
        <w:tblStyle w:val="2"/>
        <w:tblW w:w="901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595"/>
        <w:gridCol w:w="2410"/>
        <w:gridCol w:w="1985"/>
        <w:gridCol w:w="2082"/>
        <w:gridCol w:w="1942"/>
      </w:tblGrid>
      <w:tr w14:paraId="02D94A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04" w:hRule="atLeast"/>
          <w:jc w:val="center"/>
        </w:trPr>
        <w:tc>
          <w:tcPr>
            <w:tcW w:w="595" w:type="dxa"/>
            <w:tcBorders>
              <w:tl2br w:val="nil"/>
              <w:tr2bl w:val="nil"/>
            </w:tcBorders>
            <w:noWrap/>
            <w:vAlign w:val="center"/>
          </w:tcPr>
          <w:p w14:paraId="31C2ABE2">
            <w:pPr>
              <w:adjustRightInd w:val="0"/>
              <w:snapToGrid w:val="0"/>
              <w:spacing w:before="50" w:line="360" w:lineRule="auto"/>
              <w:ind w:left="-88" w:leftChars="-42"/>
              <w:jc w:val="center"/>
              <w:rPr>
                <w:rFonts w:hint="eastAsia" w:ascii="宋体" w:hAnsi="宋体" w:eastAsia="宋体" w:cs="宋体"/>
                <w:szCs w:val="21"/>
              </w:rPr>
            </w:pPr>
            <w:r>
              <w:rPr>
                <w:rFonts w:hint="eastAsia" w:ascii="宋体" w:hAnsi="宋体" w:eastAsia="宋体" w:cs="宋体"/>
                <w:bCs/>
                <w:szCs w:val="21"/>
              </w:rPr>
              <w:t>序</w:t>
            </w:r>
            <w:r>
              <w:rPr>
                <w:rFonts w:hint="eastAsia" w:ascii="宋体" w:hAnsi="宋体" w:eastAsia="宋体" w:cs="宋体"/>
                <w:szCs w:val="21"/>
              </w:rPr>
              <w:t>号</w:t>
            </w:r>
          </w:p>
        </w:tc>
        <w:tc>
          <w:tcPr>
            <w:tcW w:w="2410" w:type="dxa"/>
            <w:tcBorders>
              <w:tl2br w:val="nil"/>
              <w:tr2bl w:val="nil"/>
            </w:tcBorders>
            <w:noWrap/>
            <w:vAlign w:val="center"/>
          </w:tcPr>
          <w:p w14:paraId="1448D5BF">
            <w:pPr>
              <w:adjustRightInd w:val="0"/>
              <w:snapToGrid w:val="0"/>
              <w:spacing w:before="50" w:line="360" w:lineRule="auto"/>
              <w:ind w:left="-88" w:leftChars="-42"/>
              <w:jc w:val="center"/>
              <w:rPr>
                <w:rFonts w:hint="eastAsia" w:ascii="宋体" w:hAnsi="宋体" w:eastAsia="宋体" w:cs="宋体"/>
                <w:szCs w:val="21"/>
              </w:rPr>
            </w:pPr>
            <w:r>
              <w:rPr>
                <w:rFonts w:hint="eastAsia" w:ascii="宋体" w:hAnsi="宋体" w:eastAsia="宋体" w:cs="宋体"/>
                <w:szCs w:val="21"/>
              </w:rPr>
              <w:t>招标文件章节</w:t>
            </w:r>
            <w:r>
              <w:rPr>
                <w:rFonts w:hint="eastAsia" w:ascii="宋体" w:hAnsi="宋体" w:eastAsia="宋体" w:cs="宋体"/>
                <w:bCs/>
                <w:szCs w:val="21"/>
              </w:rPr>
              <w:t>条</w:t>
            </w:r>
            <w:r>
              <w:rPr>
                <w:rFonts w:hint="eastAsia" w:ascii="宋体" w:hAnsi="宋体" w:eastAsia="宋体" w:cs="宋体"/>
                <w:szCs w:val="21"/>
              </w:rPr>
              <w:t>款号</w:t>
            </w:r>
          </w:p>
        </w:tc>
        <w:tc>
          <w:tcPr>
            <w:tcW w:w="1985" w:type="dxa"/>
            <w:tcBorders>
              <w:tl2br w:val="nil"/>
              <w:tr2bl w:val="nil"/>
            </w:tcBorders>
            <w:noWrap/>
            <w:vAlign w:val="center"/>
          </w:tcPr>
          <w:p w14:paraId="493CAF4B">
            <w:pPr>
              <w:adjustRightInd w:val="0"/>
              <w:snapToGrid w:val="0"/>
              <w:spacing w:before="50" w:line="360" w:lineRule="auto"/>
              <w:ind w:left="-88" w:leftChars="-42"/>
              <w:jc w:val="center"/>
              <w:rPr>
                <w:rFonts w:hint="eastAsia" w:ascii="宋体" w:hAnsi="宋体" w:eastAsia="宋体" w:cs="宋体"/>
                <w:szCs w:val="21"/>
              </w:rPr>
            </w:pPr>
            <w:r>
              <w:rPr>
                <w:rFonts w:hint="eastAsia" w:ascii="宋体" w:hAnsi="宋体" w:eastAsia="宋体" w:cs="宋体"/>
              </w:rPr>
              <w:t>招标文件要求</w:t>
            </w:r>
          </w:p>
        </w:tc>
        <w:tc>
          <w:tcPr>
            <w:tcW w:w="2082" w:type="dxa"/>
            <w:tcBorders>
              <w:tl2br w:val="nil"/>
              <w:tr2bl w:val="nil"/>
            </w:tcBorders>
            <w:noWrap/>
            <w:vAlign w:val="center"/>
          </w:tcPr>
          <w:p w14:paraId="381D9ED9">
            <w:pPr>
              <w:adjustRightInd w:val="0"/>
              <w:snapToGrid w:val="0"/>
              <w:spacing w:before="50" w:line="360" w:lineRule="auto"/>
              <w:jc w:val="center"/>
              <w:rPr>
                <w:rFonts w:hint="eastAsia" w:ascii="宋体" w:hAnsi="宋体" w:eastAsia="宋体" w:cs="宋体"/>
                <w:szCs w:val="21"/>
              </w:rPr>
            </w:pPr>
            <w:r>
              <w:rPr>
                <w:rFonts w:hint="eastAsia" w:ascii="宋体" w:hAnsi="宋体" w:eastAsia="宋体" w:cs="宋体"/>
              </w:rPr>
              <w:t>投标文件的应答</w:t>
            </w:r>
          </w:p>
        </w:tc>
        <w:tc>
          <w:tcPr>
            <w:tcW w:w="1942" w:type="dxa"/>
            <w:tcBorders>
              <w:tl2br w:val="nil"/>
              <w:tr2bl w:val="nil"/>
            </w:tcBorders>
            <w:noWrap/>
            <w:vAlign w:val="center"/>
          </w:tcPr>
          <w:p w14:paraId="6363B310">
            <w:pPr>
              <w:adjustRightInd w:val="0"/>
              <w:snapToGrid w:val="0"/>
              <w:spacing w:before="50" w:line="360" w:lineRule="auto"/>
              <w:ind w:left="-88" w:leftChars="-42"/>
              <w:jc w:val="center"/>
              <w:rPr>
                <w:rFonts w:hint="eastAsia" w:ascii="宋体" w:hAnsi="宋体" w:eastAsia="宋体" w:cs="宋体"/>
                <w:szCs w:val="21"/>
              </w:rPr>
            </w:pPr>
            <w:r>
              <w:rPr>
                <w:rFonts w:hint="eastAsia" w:ascii="宋体" w:hAnsi="宋体" w:eastAsia="宋体" w:cs="宋体"/>
                <w:szCs w:val="21"/>
              </w:rPr>
              <w:t>偏离说明</w:t>
            </w:r>
          </w:p>
        </w:tc>
      </w:tr>
      <w:tr w14:paraId="39F0D4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05" w:hRule="atLeast"/>
          <w:jc w:val="center"/>
        </w:trPr>
        <w:tc>
          <w:tcPr>
            <w:tcW w:w="595" w:type="dxa"/>
            <w:tcBorders>
              <w:tl2br w:val="nil"/>
              <w:tr2bl w:val="nil"/>
            </w:tcBorders>
            <w:noWrap/>
            <w:vAlign w:val="center"/>
          </w:tcPr>
          <w:p w14:paraId="650DBF9D">
            <w:pPr>
              <w:adjustRightInd w:val="0"/>
              <w:snapToGrid w:val="0"/>
              <w:spacing w:before="50" w:line="360" w:lineRule="auto"/>
              <w:ind w:left="-88" w:leftChars="-42"/>
              <w:jc w:val="center"/>
              <w:rPr>
                <w:rFonts w:hint="eastAsia" w:ascii="宋体" w:hAnsi="宋体" w:eastAsia="宋体" w:cs="宋体"/>
                <w:szCs w:val="21"/>
              </w:rPr>
            </w:pPr>
          </w:p>
        </w:tc>
        <w:tc>
          <w:tcPr>
            <w:tcW w:w="2410" w:type="dxa"/>
            <w:tcBorders>
              <w:tl2br w:val="nil"/>
              <w:tr2bl w:val="nil"/>
            </w:tcBorders>
            <w:noWrap/>
            <w:vAlign w:val="center"/>
          </w:tcPr>
          <w:p w14:paraId="5B7CD34F">
            <w:pPr>
              <w:adjustRightInd w:val="0"/>
              <w:snapToGrid w:val="0"/>
              <w:spacing w:before="50" w:line="360" w:lineRule="auto"/>
              <w:ind w:left="-88" w:leftChars="-42"/>
              <w:jc w:val="center"/>
              <w:rPr>
                <w:rFonts w:hint="eastAsia" w:ascii="宋体" w:hAnsi="宋体" w:eastAsia="宋体" w:cs="宋体"/>
                <w:szCs w:val="21"/>
              </w:rPr>
            </w:pPr>
          </w:p>
        </w:tc>
        <w:tc>
          <w:tcPr>
            <w:tcW w:w="1985" w:type="dxa"/>
            <w:tcBorders>
              <w:tl2br w:val="nil"/>
              <w:tr2bl w:val="nil"/>
            </w:tcBorders>
            <w:noWrap/>
          </w:tcPr>
          <w:p w14:paraId="5EC37668">
            <w:pPr>
              <w:adjustRightInd w:val="0"/>
              <w:snapToGrid w:val="0"/>
              <w:spacing w:before="50" w:line="360" w:lineRule="auto"/>
              <w:rPr>
                <w:rFonts w:hint="eastAsia" w:ascii="宋体" w:hAnsi="宋体" w:eastAsia="宋体" w:cs="宋体"/>
              </w:rPr>
            </w:pPr>
          </w:p>
        </w:tc>
        <w:tc>
          <w:tcPr>
            <w:tcW w:w="2082" w:type="dxa"/>
            <w:tcBorders>
              <w:tl2br w:val="nil"/>
              <w:tr2bl w:val="nil"/>
            </w:tcBorders>
            <w:noWrap/>
          </w:tcPr>
          <w:p w14:paraId="0BA26587">
            <w:pPr>
              <w:adjustRightInd w:val="0"/>
              <w:snapToGrid w:val="0"/>
              <w:spacing w:before="50" w:line="360" w:lineRule="auto"/>
              <w:rPr>
                <w:rFonts w:hint="eastAsia" w:ascii="宋体" w:hAnsi="宋体" w:eastAsia="宋体" w:cs="宋体"/>
              </w:rPr>
            </w:pPr>
          </w:p>
        </w:tc>
        <w:tc>
          <w:tcPr>
            <w:tcW w:w="1942" w:type="dxa"/>
            <w:tcBorders>
              <w:tl2br w:val="nil"/>
              <w:tr2bl w:val="nil"/>
            </w:tcBorders>
            <w:noWrap/>
          </w:tcPr>
          <w:p w14:paraId="701D952D">
            <w:pPr>
              <w:adjustRightInd w:val="0"/>
              <w:snapToGrid w:val="0"/>
              <w:spacing w:before="50" w:line="360" w:lineRule="auto"/>
              <w:ind w:left="-88" w:leftChars="-42"/>
              <w:jc w:val="center"/>
              <w:rPr>
                <w:rFonts w:hint="eastAsia" w:ascii="宋体" w:hAnsi="宋体" w:eastAsia="宋体" w:cs="宋体"/>
                <w:szCs w:val="21"/>
              </w:rPr>
            </w:pPr>
          </w:p>
        </w:tc>
      </w:tr>
      <w:tr w14:paraId="49A516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05" w:hRule="atLeast"/>
          <w:jc w:val="center"/>
        </w:trPr>
        <w:tc>
          <w:tcPr>
            <w:tcW w:w="595" w:type="dxa"/>
            <w:tcBorders>
              <w:tl2br w:val="nil"/>
              <w:tr2bl w:val="nil"/>
            </w:tcBorders>
            <w:noWrap/>
            <w:vAlign w:val="center"/>
          </w:tcPr>
          <w:p w14:paraId="6721E863">
            <w:pPr>
              <w:adjustRightInd w:val="0"/>
              <w:snapToGrid w:val="0"/>
              <w:spacing w:before="50" w:line="360" w:lineRule="auto"/>
              <w:ind w:left="-88" w:leftChars="-42"/>
              <w:jc w:val="center"/>
              <w:rPr>
                <w:rFonts w:hint="eastAsia" w:ascii="宋体" w:hAnsi="宋体" w:eastAsia="宋体" w:cs="宋体"/>
                <w:szCs w:val="21"/>
              </w:rPr>
            </w:pPr>
          </w:p>
        </w:tc>
        <w:tc>
          <w:tcPr>
            <w:tcW w:w="2410" w:type="dxa"/>
            <w:tcBorders>
              <w:tl2br w:val="nil"/>
              <w:tr2bl w:val="nil"/>
            </w:tcBorders>
            <w:noWrap/>
            <w:vAlign w:val="center"/>
          </w:tcPr>
          <w:p w14:paraId="1ADD0538">
            <w:pPr>
              <w:adjustRightInd w:val="0"/>
              <w:snapToGrid w:val="0"/>
              <w:spacing w:before="50" w:line="360" w:lineRule="auto"/>
              <w:ind w:left="-88" w:leftChars="-42"/>
              <w:jc w:val="center"/>
              <w:rPr>
                <w:rFonts w:hint="eastAsia" w:ascii="宋体" w:hAnsi="宋体" w:eastAsia="宋体" w:cs="宋体"/>
                <w:szCs w:val="21"/>
              </w:rPr>
            </w:pPr>
          </w:p>
        </w:tc>
        <w:tc>
          <w:tcPr>
            <w:tcW w:w="1985" w:type="dxa"/>
            <w:tcBorders>
              <w:tl2br w:val="nil"/>
              <w:tr2bl w:val="nil"/>
            </w:tcBorders>
            <w:noWrap/>
            <w:vAlign w:val="center"/>
          </w:tcPr>
          <w:p w14:paraId="2C1DF45C">
            <w:pPr>
              <w:adjustRightInd w:val="0"/>
              <w:snapToGrid w:val="0"/>
              <w:spacing w:before="50" w:line="360" w:lineRule="auto"/>
              <w:ind w:left="-88" w:leftChars="-42"/>
              <w:jc w:val="center"/>
              <w:rPr>
                <w:rFonts w:hint="eastAsia" w:ascii="宋体" w:hAnsi="宋体" w:eastAsia="宋体" w:cs="宋体"/>
                <w:szCs w:val="21"/>
              </w:rPr>
            </w:pPr>
          </w:p>
        </w:tc>
        <w:tc>
          <w:tcPr>
            <w:tcW w:w="2082" w:type="dxa"/>
            <w:tcBorders>
              <w:tl2br w:val="nil"/>
              <w:tr2bl w:val="nil"/>
            </w:tcBorders>
            <w:noWrap/>
            <w:vAlign w:val="center"/>
          </w:tcPr>
          <w:p w14:paraId="14343E0C">
            <w:pPr>
              <w:adjustRightInd w:val="0"/>
              <w:snapToGrid w:val="0"/>
              <w:spacing w:before="50" w:line="360" w:lineRule="auto"/>
              <w:ind w:left="-88" w:leftChars="-42"/>
              <w:jc w:val="center"/>
              <w:rPr>
                <w:rFonts w:hint="eastAsia" w:ascii="宋体" w:hAnsi="宋体" w:eastAsia="宋体" w:cs="宋体"/>
                <w:szCs w:val="21"/>
              </w:rPr>
            </w:pPr>
          </w:p>
        </w:tc>
        <w:tc>
          <w:tcPr>
            <w:tcW w:w="1942" w:type="dxa"/>
            <w:tcBorders>
              <w:tl2br w:val="nil"/>
              <w:tr2bl w:val="nil"/>
            </w:tcBorders>
            <w:noWrap/>
            <w:vAlign w:val="center"/>
          </w:tcPr>
          <w:p w14:paraId="333D16EB">
            <w:pPr>
              <w:adjustRightInd w:val="0"/>
              <w:snapToGrid w:val="0"/>
              <w:spacing w:before="50" w:line="360" w:lineRule="auto"/>
              <w:ind w:left="-88" w:leftChars="-42"/>
              <w:jc w:val="center"/>
              <w:rPr>
                <w:rFonts w:hint="eastAsia" w:ascii="宋体" w:hAnsi="宋体" w:eastAsia="宋体" w:cs="宋体"/>
                <w:szCs w:val="21"/>
              </w:rPr>
            </w:pPr>
          </w:p>
        </w:tc>
      </w:tr>
      <w:tr w14:paraId="6DB4B4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05" w:hRule="atLeast"/>
          <w:jc w:val="center"/>
        </w:trPr>
        <w:tc>
          <w:tcPr>
            <w:tcW w:w="595" w:type="dxa"/>
            <w:tcBorders>
              <w:tl2br w:val="nil"/>
              <w:tr2bl w:val="nil"/>
            </w:tcBorders>
            <w:noWrap/>
            <w:vAlign w:val="center"/>
          </w:tcPr>
          <w:p w14:paraId="5D6D6EF8">
            <w:pPr>
              <w:adjustRightInd w:val="0"/>
              <w:snapToGrid w:val="0"/>
              <w:spacing w:before="50" w:line="360" w:lineRule="auto"/>
              <w:ind w:left="-88" w:leftChars="-42"/>
              <w:jc w:val="center"/>
              <w:rPr>
                <w:rFonts w:hint="eastAsia" w:ascii="宋体" w:hAnsi="宋体" w:eastAsia="宋体" w:cs="宋体"/>
                <w:szCs w:val="21"/>
              </w:rPr>
            </w:pPr>
          </w:p>
        </w:tc>
        <w:tc>
          <w:tcPr>
            <w:tcW w:w="2410" w:type="dxa"/>
            <w:tcBorders>
              <w:tl2br w:val="nil"/>
              <w:tr2bl w:val="nil"/>
            </w:tcBorders>
            <w:noWrap/>
            <w:vAlign w:val="center"/>
          </w:tcPr>
          <w:p w14:paraId="4A46F703">
            <w:pPr>
              <w:adjustRightInd w:val="0"/>
              <w:snapToGrid w:val="0"/>
              <w:spacing w:before="50" w:line="360" w:lineRule="auto"/>
              <w:ind w:left="-88" w:leftChars="-42"/>
              <w:jc w:val="center"/>
              <w:rPr>
                <w:rFonts w:hint="eastAsia" w:ascii="宋体" w:hAnsi="宋体" w:eastAsia="宋体" w:cs="宋体"/>
                <w:szCs w:val="21"/>
              </w:rPr>
            </w:pPr>
          </w:p>
        </w:tc>
        <w:tc>
          <w:tcPr>
            <w:tcW w:w="1985" w:type="dxa"/>
            <w:tcBorders>
              <w:tl2br w:val="nil"/>
              <w:tr2bl w:val="nil"/>
            </w:tcBorders>
            <w:noWrap/>
            <w:vAlign w:val="center"/>
          </w:tcPr>
          <w:p w14:paraId="1F7EFC8B">
            <w:pPr>
              <w:adjustRightInd w:val="0"/>
              <w:snapToGrid w:val="0"/>
              <w:spacing w:before="50" w:line="360" w:lineRule="auto"/>
              <w:ind w:left="-88" w:leftChars="-42"/>
              <w:jc w:val="center"/>
              <w:rPr>
                <w:rFonts w:hint="eastAsia" w:ascii="宋体" w:hAnsi="宋体" w:eastAsia="宋体" w:cs="宋体"/>
                <w:szCs w:val="21"/>
              </w:rPr>
            </w:pPr>
          </w:p>
        </w:tc>
        <w:tc>
          <w:tcPr>
            <w:tcW w:w="2082" w:type="dxa"/>
            <w:tcBorders>
              <w:tl2br w:val="nil"/>
              <w:tr2bl w:val="nil"/>
            </w:tcBorders>
            <w:noWrap/>
            <w:vAlign w:val="center"/>
          </w:tcPr>
          <w:p w14:paraId="65AB1ACA">
            <w:pPr>
              <w:adjustRightInd w:val="0"/>
              <w:snapToGrid w:val="0"/>
              <w:spacing w:before="50" w:line="360" w:lineRule="auto"/>
              <w:ind w:left="-88" w:leftChars="-42"/>
              <w:jc w:val="center"/>
              <w:rPr>
                <w:rFonts w:hint="eastAsia" w:ascii="宋体" w:hAnsi="宋体" w:eastAsia="宋体" w:cs="宋体"/>
                <w:szCs w:val="21"/>
              </w:rPr>
            </w:pPr>
          </w:p>
        </w:tc>
        <w:tc>
          <w:tcPr>
            <w:tcW w:w="1942" w:type="dxa"/>
            <w:tcBorders>
              <w:tl2br w:val="nil"/>
              <w:tr2bl w:val="nil"/>
            </w:tcBorders>
            <w:noWrap/>
            <w:vAlign w:val="center"/>
          </w:tcPr>
          <w:p w14:paraId="702F9D5C">
            <w:pPr>
              <w:adjustRightInd w:val="0"/>
              <w:snapToGrid w:val="0"/>
              <w:spacing w:before="50" w:line="360" w:lineRule="auto"/>
              <w:ind w:left="-88" w:leftChars="-42"/>
              <w:jc w:val="center"/>
              <w:rPr>
                <w:rFonts w:hint="eastAsia" w:ascii="宋体" w:hAnsi="宋体" w:eastAsia="宋体" w:cs="宋体"/>
                <w:szCs w:val="21"/>
              </w:rPr>
            </w:pPr>
          </w:p>
        </w:tc>
      </w:tr>
      <w:tr w14:paraId="7FB3F2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05" w:hRule="atLeast"/>
          <w:jc w:val="center"/>
        </w:trPr>
        <w:tc>
          <w:tcPr>
            <w:tcW w:w="595" w:type="dxa"/>
            <w:tcBorders>
              <w:tl2br w:val="nil"/>
              <w:tr2bl w:val="nil"/>
            </w:tcBorders>
            <w:noWrap/>
            <w:vAlign w:val="center"/>
          </w:tcPr>
          <w:p w14:paraId="487AA9EA">
            <w:pPr>
              <w:adjustRightInd w:val="0"/>
              <w:snapToGrid w:val="0"/>
              <w:spacing w:before="50" w:line="360" w:lineRule="auto"/>
              <w:ind w:left="-88" w:leftChars="-42"/>
              <w:jc w:val="center"/>
              <w:rPr>
                <w:rFonts w:hint="eastAsia" w:ascii="宋体" w:hAnsi="宋体" w:eastAsia="宋体" w:cs="宋体"/>
                <w:szCs w:val="21"/>
              </w:rPr>
            </w:pPr>
          </w:p>
        </w:tc>
        <w:tc>
          <w:tcPr>
            <w:tcW w:w="2410" w:type="dxa"/>
            <w:tcBorders>
              <w:tl2br w:val="nil"/>
              <w:tr2bl w:val="nil"/>
            </w:tcBorders>
            <w:noWrap/>
            <w:vAlign w:val="center"/>
          </w:tcPr>
          <w:p w14:paraId="24D55AA3">
            <w:pPr>
              <w:adjustRightInd w:val="0"/>
              <w:snapToGrid w:val="0"/>
              <w:spacing w:before="50" w:line="360" w:lineRule="auto"/>
              <w:ind w:left="-88" w:leftChars="-42"/>
              <w:jc w:val="center"/>
              <w:rPr>
                <w:rFonts w:hint="eastAsia" w:ascii="宋体" w:hAnsi="宋体" w:eastAsia="宋体" w:cs="宋体"/>
                <w:szCs w:val="21"/>
              </w:rPr>
            </w:pPr>
          </w:p>
        </w:tc>
        <w:tc>
          <w:tcPr>
            <w:tcW w:w="1985" w:type="dxa"/>
            <w:tcBorders>
              <w:tl2br w:val="nil"/>
              <w:tr2bl w:val="nil"/>
            </w:tcBorders>
            <w:noWrap/>
            <w:vAlign w:val="center"/>
          </w:tcPr>
          <w:p w14:paraId="2802F6E2">
            <w:pPr>
              <w:adjustRightInd w:val="0"/>
              <w:snapToGrid w:val="0"/>
              <w:spacing w:before="50" w:line="360" w:lineRule="auto"/>
              <w:ind w:left="-88" w:leftChars="-42"/>
              <w:jc w:val="center"/>
              <w:rPr>
                <w:rFonts w:hint="eastAsia" w:ascii="宋体" w:hAnsi="宋体" w:eastAsia="宋体" w:cs="宋体"/>
                <w:szCs w:val="21"/>
              </w:rPr>
            </w:pPr>
          </w:p>
        </w:tc>
        <w:tc>
          <w:tcPr>
            <w:tcW w:w="2082" w:type="dxa"/>
            <w:tcBorders>
              <w:tl2br w:val="nil"/>
              <w:tr2bl w:val="nil"/>
            </w:tcBorders>
            <w:noWrap/>
            <w:vAlign w:val="center"/>
          </w:tcPr>
          <w:p w14:paraId="14C60383">
            <w:pPr>
              <w:adjustRightInd w:val="0"/>
              <w:snapToGrid w:val="0"/>
              <w:spacing w:before="50" w:line="360" w:lineRule="auto"/>
              <w:ind w:left="-88" w:leftChars="-42"/>
              <w:jc w:val="center"/>
              <w:rPr>
                <w:rFonts w:hint="eastAsia" w:ascii="宋体" w:hAnsi="宋体" w:eastAsia="宋体" w:cs="宋体"/>
                <w:szCs w:val="21"/>
              </w:rPr>
            </w:pPr>
          </w:p>
        </w:tc>
        <w:tc>
          <w:tcPr>
            <w:tcW w:w="1942" w:type="dxa"/>
            <w:tcBorders>
              <w:tl2br w:val="nil"/>
              <w:tr2bl w:val="nil"/>
            </w:tcBorders>
            <w:noWrap/>
            <w:vAlign w:val="center"/>
          </w:tcPr>
          <w:p w14:paraId="0B81700A">
            <w:pPr>
              <w:adjustRightInd w:val="0"/>
              <w:snapToGrid w:val="0"/>
              <w:spacing w:before="50" w:line="360" w:lineRule="auto"/>
              <w:ind w:left="-88" w:leftChars="-42"/>
              <w:jc w:val="center"/>
              <w:rPr>
                <w:rFonts w:hint="eastAsia" w:ascii="宋体" w:hAnsi="宋体" w:eastAsia="宋体" w:cs="宋体"/>
                <w:szCs w:val="21"/>
              </w:rPr>
            </w:pPr>
          </w:p>
        </w:tc>
      </w:tr>
      <w:tr w14:paraId="14E7C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05" w:hRule="atLeast"/>
          <w:jc w:val="center"/>
        </w:trPr>
        <w:tc>
          <w:tcPr>
            <w:tcW w:w="595" w:type="dxa"/>
            <w:tcBorders>
              <w:tl2br w:val="nil"/>
              <w:tr2bl w:val="nil"/>
            </w:tcBorders>
            <w:noWrap/>
            <w:vAlign w:val="center"/>
          </w:tcPr>
          <w:p w14:paraId="357DDF6D">
            <w:pPr>
              <w:adjustRightInd w:val="0"/>
              <w:snapToGrid w:val="0"/>
              <w:spacing w:before="50" w:line="360" w:lineRule="auto"/>
              <w:ind w:left="-88" w:leftChars="-42"/>
              <w:jc w:val="center"/>
              <w:rPr>
                <w:rFonts w:hint="eastAsia" w:ascii="宋体" w:hAnsi="宋体" w:eastAsia="宋体" w:cs="宋体"/>
                <w:szCs w:val="21"/>
              </w:rPr>
            </w:pPr>
          </w:p>
        </w:tc>
        <w:tc>
          <w:tcPr>
            <w:tcW w:w="2410" w:type="dxa"/>
            <w:tcBorders>
              <w:tl2br w:val="nil"/>
              <w:tr2bl w:val="nil"/>
            </w:tcBorders>
            <w:noWrap/>
            <w:vAlign w:val="center"/>
          </w:tcPr>
          <w:p w14:paraId="38F13AD4">
            <w:pPr>
              <w:adjustRightInd w:val="0"/>
              <w:snapToGrid w:val="0"/>
              <w:spacing w:before="50" w:line="360" w:lineRule="auto"/>
              <w:ind w:left="-88" w:leftChars="-42"/>
              <w:jc w:val="center"/>
              <w:rPr>
                <w:rFonts w:hint="eastAsia" w:ascii="宋体" w:hAnsi="宋体" w:eastAsia="宋体" w:cs="宋体"/>
                <w:szCs w:val="21"/>
              </w:rPr>
            </w:pPr>
          </w:p>
        </w:tc>
        <w:tc>
          <w:tcPr>
            <w:tcW w:w="1985" w:type="dxa"/>
            <w:tcBorders>
              <w:tl2br w:val="nil"/>
              <w:tr2bl w:val="nil"/>
            </w:tcBorders>
            <w:noWrap/>
            <w:vAlign w:val="center"/>
          </w:tcPr>
          <w:p w14:paraId="196AB5E1">
            <w:pPr>
              <w:adjustRightInd w:val="0"/>
              <w:snapToGrid w:val="0"/>
              <w:spacing w:before="50" w:line="360" w:lineRule="auto"/>
              <w:ind w:left="-88" w:leftChars="-42"/>
              <w:jc w:val="center"/>
              <w:rPr>
                <w:rFonts w:hint="eastAsia" w:ascii="宋体" w:hAnsi="宋体" w:eastAsia="宋体" w:cs="宋体"/>
                <w:szCs w:val="21"/>
              </w:rPr>
            </w:pPr>
          </w:p>
        </w:tc>
        <w:tc>
          <w:tcPr>
            <w:tcW w:w="2082" w:type="dxa"/>
            <w:tcBorders>
              <w:tl2br w:val="nil"/>
              <w:tr2bl w:val="nil"/>
            </w:tcBorders>
            <w:noWrap/>
            <w:vAlign w:val="center"/>
          </w:tcPr>
          <w:p w14:paraId="2DD02A91">
            <w:pPr>
              <w:adjustRightInd w:val="0"/>
              <w:snapToGrid w:val="0"/>
              <w:spacing w:before="50" w:line="360" w:lineRule="auto"/>
              <w:ind w:left="-88" w:leftChars="-42"/>
              <w:jc w:val="center"/>
              <w:rPr>
                <w:rFonts w:hint="eastAsia" w:ascii="宋体" w:hAnsi="宋体" w:eastAsia="宋体" w:cs="宋体"/>
                <w:szCs w:val="21"/>
              </w:rPr>
            </w:pPr>
          </w:p>
        </w:tc>
        <w:tc>
          <w:tcPr>
            <w:tcW w:w="1942" w:type="dxa"/>
            <w:tcBorders>
              <w:tl2br w:val="nil"/>
              <w:tr2bl w:val="nil"/>
            </w:tcBorders>
            <w:noWrap/>
            <w:vAlign w:val="center"/>
          </w:tcPr>
          <w:p w14:paraId="25FDCE80">
            <w:pPr>
              <w:adjustRightInd w:val="0"/>
              <w:snapToGrid w:val="0"/>
              <w:spacing w:before="50" w:line="360" w:lineRule="auto"/>
              <w:ind w:left="-88" w:leftChars="-42"/>
              <w:jc w:val="center"/>
              <w:rPr>
                <w:rFonts w:hint="eastAsia" w:ascii="宋体" w:hAnsi="宋体" w:eastAsia="宋体" w:cs="宋体"/>
                <w:szCs w:val="21"/>
              </w:rPr>
            </w:pPr>
          </w:p>
        </w:tc>
      </w:tr>
      <w:tr w14:paraId="5525C7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05" w:hRule="atLeast"/>
          <w:jc w:val="center"/>
        </w:trPr>
        <w:tc>
          <w:tcPr>
            <w:tcW w:w="595" w:type="dxa"/>
            <w:tcBorders>
              <w:tl2br w:val="nil"/>
              <w:tr2bl w:val="nil"/>
            </w:tcBorders>
            <w:noWrap/>
            <w:vAlign w:val="center"/>
          </w:tcPr>
          <w:p w14:paraId="1A8F2C37">
            <w:pPr>
              <w:adjustRightInd w:val="0"/>
              <w:snapToGrid w:val="0"/>
              <w:spacing w:before="50" w:line="360" w:lineRule="auto"/>
              <w:ind w:left="-88" w:leftChars="-42"/>
              <w:jc w:val="center"/>
              <w:rPr>
                <w:rFonts w:hint="eastAsia" w:ascii="宋体" w:hAnsi="宋体" w:eastAsia="宋体" w:cs="宋体"/>
                <w:szCs w:val="21"/>
              </w:rPr>
            </w:pPr>
          </w:p>
        </w:tc>
        <w:tc>
          <w:tcPr>
            <w:tcW w:w="2410" w:type="dxa"/>
            <w:tcBorders>
              <w:tl2br w:val="nil"/>
              <w:tr2bl w:val="nil"/>
            </w:tcBorders>
            <w:noWrap/>
            <w:vAlign w:val="center"/>
          </w:tcPr>
          <w:p w14:paraId="01A0067D">
            <w:pPr>
              <w:adjustRightInd w:val="0"/>
              <w:snapToGrid w:val="0"/>
              <w:spacing w:before="50" w:line="360" w:lineRule="auto"/>
              <w:ind w:left="-88" w:leftChars="-42"/>
              <w:jc w:val="center"/>
              <w:rPr>
                <w:rFonts w:hint="eastAsia" w:ascii="宋体" w:hAnsi="宋体" w:eastAsia="宋体" w:cs="宋体"/>
                <w:szCs w:val="21"/>
              </w:rPr>
            </w:pPr>
          </w:p>
        </w:tc>
        <w:tc>
          <w:tcPr>
            <w:tcW w:w="1985" w:type="dxa"/>
            <w:tcBorders>
              <w:tl2br w:val="nil"/>
              <w:tr2bl w:val="nil"/>
            </w:tcBorders>
            <w:noWrap/>
            <w:vAlign w:val="center"/>
          </w:tcPr>
          <w:p w14:paraId="732587FA">
            <w:pPr>
              <w:adjustRightInd w:val="0"/>
              <w:snapToGrid w:val="0"/>
              <w:spacing w:before="50" w:line="360" w:lineRule="auto"/>
              <w:ind w:left="-88" w:leftChars="-42"/>
              <w:jc w:val="center"/>
              <w:rPr>
                <w:rFonts w:hint="eastAsia" w:ascii="宋体" w:hAnsi="宋体" w:eastAsia="宋体" w:cs="宋体"/>
                <w:szCs w:val="21"/>
              </w:rPr>
            </w:pPr>
          </w:p>
        </w:tc>
        <w:tc>
          <w:tcPr>
            <w:tcW w:w="2082" w:type="dxa"/>
            <w:tcBorders>
              <w:tl2br w:val="nil"/>
              <w:tr2bl w:val="nil"/>
            </w:tcBorders>
            <w:noWrap/>
            <w:vAlign w:val="center"/>
          </w:tcPr>
          <w:p w14:paraId="01DE8639">
            <w:pPr>
              <w:adjustRightInd w:val="0"/>
              <w:snapToGrid w:val="0"/>
              <w:spacing w:before="50" w:line="360" w:lineRule="auto"/>
              <w:ind w:left="-88" w:leftChars="-42"/>
              <w:jc w:val="center"/>
              <w:rPr>
                <w:rFonts w:hint="eastAsia" w:ascii="宋体" w:hAnsi="宋体" w:eastAsia="宋体" w:cs="宋体"/>
                <w:szCs w:val="21"/>
              </w:rPr>
            </w:pPr>
          </w:p>
        </w:tc>
        <w:tc>
          <w:tcPr>
            <w:tcW w:w="1942" w:type="dxa"/>
            <w:tcBorders>
              <w:tl2br w:val="nil"/>
              <w:tr2bl w:val="nil"/>
            </w:tcBorders>
            <w:noWrap/>
            <w:vAlign w:val="center"/>
          </w:tcPr>
          <w:p w14:paraId="50CFF639">
            <w:pPr>
              <w:adjustRightInd w:val="0"/>
              <w:snapToGrid w:val="0"/>
              <w:spacing w:before="50" w:line="360" w:lineRule="auto"/>
              <w:ind w:left="-88" w:leftChars="-42"/>
              <w:jc w:val="center"/>
              <w:rPr>
                <w:rFonts w:hint="eastAsia" w:ascii="宋体" w:hAnsi="宋体" w:eastAsia="宋体" w:cs="宋体"/>
                <w:szCs w:val="21"/>
              </w:rPr>
            </w:pPr>
          </w:p>
        </w:tc>
      </w:tr>
      <w:tr w14:paraId="083123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05" w:hRule="atLeast"/>
          <w:jc w:val="center"/>
        </w:trPr>
        <w:tc>
          <w:tcPr>
            <w:tcW w:w="595" w:type="dxa"/>
            <w:tcBorders>
              <w:tl2br w:val="nil"/>
              <w:tr2bl w:val="nil"/>
            </w:tcBorders>
            <w:noWrap/>
            <w:vAlign w:val="center"/>
          </w:tcPr>
          <w:p w14:paraId="25603521">
            <w:pPr>
              <w:adjustRightInd w:val="0"/>
              <w:snapToGrid w:val="0"/>
              <w:spacing w:before="50" w:line="360" w:lineRule="auto"/>
              <w:ind w:left="-88" w:leftChars="-42"/>
              <w:jc w:val="center"/>
              <w:rPr>
                <w:rFonts w:hint="eastAsia" w:ascii="宋体" w:hAnsi="宋体" w:eastAsia="宋体" w:cs="宋体"/>
                <w:szCs w:val="21"/>
              </w:rPr>
            </w:pPr>
          </w:p>
        </w:tc>
        <w:tc>
          <w:tcPr>
            <w:tcW w:w="2410" w:type="dxa"/>
            <w:tcBorders>
              <w:tl2br w:val="nil"/>
              <w:tr2bl w:val="nil"/>
            </w:tcBorders>
            <w:noWrap/>
            <w:vAlign w:val="center"/>
          </w:tcPr>
          <w:p w14:paraId="76E303FC">
            <w:pPr>
              <w:adjustRightInd w:val="0"/>
              <w:snapToGrid w:val="0"/>
              <w:spacing w:before="50" w:line="360" w:lineRule="auto"/>
              <w:ind w:left="-88" w:leftChars="-42"/>
              <w:jc w:val="center"/>
              <w:rPr>
                <w:rFonts w:hint="eastAsia" w:ascii="宋体" w:hAnsi="宋体" w:eastAsia="宋体" w:cs="宋体"/>
                <w:szCs w:val="21"/>
              </w:rPr>
            </w:pPr>
          </w:p>
        </w:tc>
        <w:tc>
          <w:tcPr>
            <w:tcW w:w="1985" w:type="dxa"/>
            <w:tcBorders>
              <w:tl2br w:val="nil"/>
              <w:tr2bl w:val="nil"/>
            </w:tcBorders>
            <w:noWrap/>
            <w:vAlign w:val="center"/>
          </w:tcPr>
          <w:p w14:paraId="7E1CC1F2">
            <w:pPr>
              <w:adjustRightInd w:val="0"/>
              <w:snapToGrid w:val="0"/>
              <w:spacing w:before="50" w:line="360" w:lineRule="auto"/>
              <w:ind w:left="-88" w:leftChars="-42"/>
              <w:jc w:val="center"/>
              <w:rPr>
                <w:rFonts w:hint="eastAsia" w:ascii="宋体" w:hAnsi="宋体" w:eastAsia="宋体" w:cs="宋体"/>
                <w:szCs w:val="21"/>
              </w:rPr>
            </w:pPr>
          </w:p>
        </w:tc>
        <w:tc>
          <w:tcPr>
            <w:tcW w:w="4024" w:type="dxa"/>
            <w:gridSpan w:val="2"/>
            <w:tcBorders>
              <w:tl2br w:val="nil"/>
              <w:tr2bl w:val="nil"/>
            </w:tcBorders>
            <w:noWrap/>
            <w:vAlign w:val="center"/>
          </w:tcPr>
          <w:p w14:paraId="3049543B">
            <w:pPr>
              <w:adjustRightInd w:val="0"/>
              <w:snapToGrid w:val="0"/>
              <w:spacing w:before="50" w:line="360" w:lineRule="auto"/>
              <w:ind w:firstLine="422" w:firstLineChars="200"/>
              <w:jc w:val="left"/>
              <w:rPr>
                <w:rFonts w:hint="eastAsia" w:ascii="宋体" w:hAnsi="宋体" w:eastAsia="宋体" w:cs="宋体"/>
                <w:b/>
                <w:szCs w:val="21"/>
              </w:rPr>
            </w:pPr>
            <w:r>
              <w:rPr>
                <w:rFonts w:hint="eastAsia" w:ascii="宋体" w:hAnsi="宋体" w:eastAsia="宋体" w:cs="宋体"/>
                <w:b/>
                <w:szCs w:val="21"/>
              </w:rPr>
              <w:t>投标人保证：除本合同条款偏离表列出的偏离外，我单位对招标文件的其他商务、合同条款完全响应，无偏离。</w:t>
            </w:r>
          </w:p>
        </w:tc>
      </w:tr>
    </w:tbl>
    <w:p w14:paraId="603AAE1A">
      <w:pPr>
        <w:adjustRightInd w:val="0"/>
        <w:snapToGrid w:val="0"/>
        <w:spacing w:before="50" w:line="360" w:lineRule="auto"/>
        <w:ind w:left="-88" w:leftChars="-42"/>
        <w:rPr>
          <w:rFonts w:hint="eastAsia" w:ascii="宋体" w:hAnsi="宋体" w:eastAsia="宋体" w:cs="宋体"/>
          <w:szCs w:val="21"/>
        </w:rPr>
      </w:pPr>
      <w:r>
        <w:rPr>
          <w:rFonts w:hint="eastAsia" w:ascii="宋体" w:hAnsi="宋体" w:eastAsia="宋体" w:cs="宋体"/>
          <w:b/>
          <w:szCs w:val="21"/>
        </w:rPr>
        <w:t>备注</w:t>
      </w:r>
      <w:r>
        <w:rPr>
          <w:rFonts w:hint="eastAsia" w:ascii="宋体" w:hAnsi="宋体" w:eastAsia="宋体" w:cs="宋体"/>
          <w:szCs w:val="21"/>
        </w:rPr>
        <w:t>：（1）投标人应根据招标文件第六章“政府采购合同”填写本表；</w:t>
      </w:r>
    </w:p>
    <w:p w14:paraId="46361833">
      <w:pPr>
        <w:adjustRightInd w:val="0"/>
        <w:snapToGrid w:val="0"/>
        <w:spacing w:before="50" w:line="360" w:lineRule="auto"/>
        <w:ind w:left="-88" w:leftChars="-42" w:firstLine="420" w:firstLineChars="200"/>
        <w:rPr>
          <w:rFonts w:hint="eastAsia" w:ascii="宋体" w:hAnsi="宋体" w:eastAsia="宋体" w:cs="宋体"/>
          <w:b/>
          <w:szCs w:val="21"/>
        </w:rPr>
      </w:pPr>
      <w:r>
        <w:rPr>
          <w:rFonts w:hint="eastAsia" w:ascii="宋体" w:hAnsi="宋体" w:eastAsia="宋体" w:cs="宋体"/>
          <w:szCs w:val="21"/>
        </w:rPr>
        <w:t>（2）</w:t>
      </w:r>
      <w:r>
        <w:rPr>
          <w:rFonts w:hint="eastAsia" w:ascii="宋体" w:hAnsi="宋体" w:eastAsia="宋体" w:cs="宋体"/>
          <w:b/>
          <w:szCs w:val="21"/>
        </w:rPr>
        <w:t>投标人如果对招标文件第六章“政府采购合同”的响应有偏离，应将偏离条款逐条如实应答，并作出说明；</w:t>
      </w:r>
    </w:p>
    <w:p w14:paraId="244B46ED">
      <w:pPr>
        <w:adjustRightInd w:val="0"/>
        <w:snapToGrid w:val="0"/>
        <w:spacing w:before="50" w:line="360" w:lineRule="auto"/>
        <w:ind w:left="-88" w:leftChars="-42" w:firstLine="420" w:firstLineChars="200"/>
        <w:rPr>
          <w:rFonts w:hint="eastAsia" w:ascii="宋体" w:hAnsi="宋体" w:eastAsia="宋体" w:cs="宋体"/>
          <w:szCs w:val="21"/>
        </w:rPr>
      </w:pPr>
      <w:r>
        <w:rPr>
          <w:rFonts w:hint="eastAsia" w:ascii="宋体" w:hAnsi="宋体" w:eastAsia="宋体" w:cs="宋体"/>
          <w:szCs w:val="21"/>
        </w:rPr>
        <w:t>（3）如不提供此表，则视为投标人不满足招标文件第六章的所有条款要求，其</w:t>
      </w:r>
      <w:r>
        <w:rPr>
          <w:rFonts w:hint="eastAsia" w:ascii="宋体" w:hAnsi="宋体" w:eastAsia="宋体" w:cs="宋体"/>
          <w:b/>
          <w:szCs w:val="21"/>
        </w:rPr>
        <w:t>投标无效</w:t>
      </w:r>
      <w:r>
        <w:rPr>
          <w:rFonts w:hint="eastAsia" w:ascii="宋体" w:hAnsi="宋体" w:eastAsia="宋体" w:cs="宋体"/>
          <w:szCs w:val="21"/>
        </w:rPr>
        <w:t>。</w:t>
      </w:r>
    </w:p>
    <w:p w14:paraId="76ECC93C">
      <w:pPr>
        <w:adjustRightInd w:val="0"/>
        <w:snapToGrid w:val="0"/>
        <w:spacing w:before="50" w:line="360" w:lineRule="auto"/>
        <w:ind w:left="-88" w:leftChars="-42" w:firstLine="420" w:firstLineChars="200"/>
        <w:rPr>
          <w:rFonts w:hint="eastAsia" w:ascii="宋体" w:hAnsi="宋体" w:eastAsia="宋体" w:cs="宋体"/>
          <w:szCs w:val="21"/>
        </w:rPr>
      </w:pPr>
      <w:r>
        <w:rPr>
          <w:rFonts w:hint="eastAsia" w:ascii="宋体" w:hAnsi="宋体" w:eastAsia="宋体" w:cs="宋体"/>
          <w:szCs w:val="21"/>
        </w:rPr>
        <w:t>（4）在采购人与成交投标人签订合同时，如成交投标人未在投标文件“合同条款偏离表”中列出偏离说明，无论已发生或即将发生任何情形，均视为完全符合招标文件要求，并写入合同。若成交投标人在合同签订前，以上述事项为借口而不履行合同签订手续及执行合同，则视作拒绝与采购人签订合同。</w:t>
      </w:r>
    </w:p>
    <w:p w14:paraId="74F10C83">
      <w:pPr>
        <w:adjustRightInd w:val="0"/>
        <w:snapToGrid w:val="0"/>
        <w:spacing w:before="50" w:line="360" w:lineRule="auto"/>
        <w:rPr>
          <w:rFonts w:hint="eastAsia" w:ascii="宋体" w:hAnsi="宋体" w:eastAsia="宋体" w:cs="宋体"/>
          <w:szCs w:val="21"/>
        </w:rPr>
      </w:pPr>
    </w:p>
    <w:p w14:paraId="5E79F865">
      <w:pPr>
        <w:adjustRightInd w:val="0"/>
        <w:snapToGrid w:val="0"/>
        <w:spacing w:before="50" w:line="360" w:lineRule="auto"/>
        <w:rPr>
          <w:rFonts w:hint="eastAsia" w:ascii="宋体" w:hAnsi="宋体" w:eastAsia="宋体" w:cs="宋体"/>
          <w:szCs w:val="21"/>
        </w:rPr>
      </w:pPr>
    </w:p>
    <w:p w14:paraId="083B2FCF">
      <w:pPr>
        <w:adjustRightInd w:val="0"/>
        <w:snapToGrid w:val="0"/>
        <w:spacing w:before="50" w:line="360" w:lineRule="auto"/>
        <w:rPr>
          <w:rFonts w:hint="eastAsia" w:ascii="宋体" w:hAnsi="宋体" w:eastAsia="宋体" w:cs="宋体"/>
          <w:szCs w:val="21"/>
        </w:rPr>
      </w:pPr>
      <w:r>
        <w:rPr>
          <w:rFonts w:hint="eastAsia" w:ascii="宋体" w:hAnsi="宋体" w:eastAsia="宋体" w:cs="宋体"/>
          <w:szCs w:val="21"/>
        </w:rPr>
        <w:t>投标人名称（盖单位章）：</w:t>
      </w:r>
    </w:p>
    <w:p w14:paraId="61A5C800">
      <w:pPr>
        <w:adjustRightInd w:val="0"/>
        <w:snapToGrid w:val="0"/>
        <w:spacing w:before="50" w:line="360" w:lineRule="auto"/>
        <w:rPr>
          <w:rFonts w:hint="eastAsia" w:ascii="宋体" w:hAnsi="宋体" w:eastAsia="宋体" w:cs="宋体"/>
          <w:szCs w:val="21"/>
        </w:rPr>
      </w:pPr>
      <w:r>
        <w:rPr>
          <w:rFonts w:hint="eastAsia" w:ascii="宋体" w:hAnsi="宋体" w:eastAsia="宋体" w:cs="宋体"/>
          <w:spacing w:val="-2"/>
          <w:kern w:val="0"/>
          <w:szCs w:val="21"/>
        </w:rPr>
        <w:t>法</w:t>
      </w:r>
      <w:r>
        <w:rPr>
          <w:rFonts w:hint="eastAsia" w:ascii="宋体" w:hAnsi="宋体" w:eastAsia="宋体" w:cs="宋体"/>
          <w:kern w:val="0"/>
          <w:szCs w:val="21"/>
        </w:rPr>
        <w:t>定</w:t>
      </w:r>
      <w:r>
        <w:rPr>
          <w:rFonts w:hint="eastAsia" w:ascii="宋体" w:hAnsi="宋体" w:eastAsia="宋体" w:cs="宋体"/>
          <w:spacing w:val="-2"/>
          <w:kern w:val="0"/>
          <w:szCs w:val="21"/>
        </w:rPr>
        <w:t>代</w:t>
      </w:r>
      <w:r>
        <w:rPr>
          <w:rFonts w:hint="eastAsia" w:ascii="宋体" w:hAnsi="宋体" w:eastAsia="宋体" w:cs="宋体"/>
          <w:kern w:val="0"/>
          <w:szCs w:val="21"/>
        </w:rPr>
        <w:t>表</w:t>
      </w:r>
      <w:r>
        <w:rPr>
          <w:rFonts w:hint="eastAsia" w:ascii="宋体" w:hAnsi="宋体" w:eastAsia="宋体" w:cs="宋体"/>
          <w:spacing w:val="-2"/>
          <w:kern w:val="0"/>
          <w:szCs w:val="21"/>
        </w:rPr>
        <w:t>人</w:t>
      </w:r>
      <w:r>
        <w:rPr>
          <w:rFonts w:hint="eastAsia" w:ascii="宋体" w:hAnsi="宋体" w:eastAsia="宋体" w:cs="宋体"/>
          <w:kern w:val="0"/>
          <w:szCs w:val="21"/>
        </w:rPr>
        <w:t>（</w:t>
      </w:r>
      <w:r>
        <w:rPr>
          <w:rFonts w:hint="eastAsia" w:ascii="宋体" w:hAnsi="宋体" w:eastAsia="宋体" w:cs="宋体"/>
          <w:spacing w:val="-2"/>
          <w:kern w:val="0"/>
          <w:szCs w:val="21"/>
        </w:rPr>
        <w:t>单</w:t>
      </w:r>
      <w:r>
        <w:rPr>
          <w:rFonts w:hint="eastAsia" w:ascii="宋体" w:hAnsi="宋体" w:eastAsia="宋体" w:cs="宋体"/>
          <w:kern w:val="0"/>
          <w:szCs w:val="21"/>
        </w:rPr>
        <w:t>位</w:t>
      </w:r>
      <w:r>
        <w:rPr>
          <w:rFonts w:hint="eastAsia" w:ascii="宋体" w:hAnsi="宋体" w:eastAsia="宋体" w:cs="宋体"/>
          <w:spacing w:val="-2"/>
          <w:kern w:val="0"/>
          <w:szCs w:val="21"/>
        </w:rPr>
        <w:t>负</w:t>
      </w:r>
      <w:r>
        <w:rPr>
          <w:rFonts w:hint="eastAsia" w:ascii="宋体" w:hAnsi="宋体" w:eastAsia="宋体" w:cs="宋体"/>
          <w:kern w:val="0"/>
          <w:szCs w:val="21"/>
        </w:rPr>
        <w:t>责人</w:t>
      </w:r>
      <w:r>
        <w:rPr>
          <w:rFonts w:hint="eastAsia" w:ascii="宋体" w:hAnsi="宋体" w:eastAsia="宋体" w:cs="宋体"/>
          <w:spacing w:val="-2"/>
          <w:kern w:val="0"/>
          <w:szCs w:val="21"/>
        </w:rPr>
        <w:t>）</w:t>
      </w:r>
      <w:r>
        <w:rPr>
          <w:rFonts w:hint="eastAsia" w:ascii="宋体" w:hAnsi="宋体" w:eastAsia="宋体" w:cs="宋体"/>
          <w:szCs w:val="21"/>
        </w:rPr>
        <w:t>或其授权的代理人（签字或印章）：</w:t>
      </w:r>
    </w:p>
    <w:p w14:paraId="2FF6A3DC">
      <w:pPr>
        <w:adjustRightInd w:val="0"/>
        <w:snapToGrid w:val="0"/>
        <w:spacing w:before="161" w:beforeLines="50" w:line="360" w:lineRule="auto"/>
        <w:rPr>
          <w:rFonts w:hint="eastAsia" w:ascii="宋体" w:hAnsi="宋体" w:eastAsia="宋体" w:cs="宋体"/>
        </w:rPr>
      </w:pPr>
      <w:r>
        <w:rPr>
          <w:rFonts w:hint="eastAsia" w:ascii="宋体" w:hAnsi="宋体" w:eastAsia="宋体" w:cs="Times New Roman"/>
          <w:szCs w:val="22"/>
          <w:lang w:bidi="ar"/>
        </w:rPr>
        <w:t>日期：   年   月   日</w:t>
      </w:r>
    </w:p>
    <w:bookmarkEnd w:id="197"/>
    <w:p w14:paraId="23F8EC11">
      <w:pPr>
        <w:adjustRightInd w:val="0"/>
        <w:snapToGrid w:val="0"/>
        <w:spacing w:before="161" w:beforeLines="50" w:line="360" w:lineRule="auto"/>
        <w:ind w:firstLine="420" w:firstLineChars="200"/>
        <w:rPr>
          <w:rFonts w:hint="eastAsia" w:ascii="宋体" w:hAnsi="宋体" w:eastAsia="宋体" w:cs="宋体"/>
        </w:rPr>
      </w:pPr>
    </w:p>
    <w:p w14:paraId="1F85040C">
      <w:pPr>
        <w:adjustRightInd w:val="0"/>
        <w:snapToGrid w:val="0"/>
        <w:spacing w:before="161" w:beforeLines="50" w:line="360" w:lineRule="auto"/>
        <w:ind w:firstLine="420" w:firstLineChars="200"/>
        <w:rPr>
          <w:rFonts w:hint="eastAsia" w:ascii="宋体" w:hAnsi="宋体" w:eastAsia="宋体" w:cs="宋体"/>
        </w:rPr>
      </w:pPr>
    </w:p>
    <w:p w14:paraId="4CF8F8DB">
      <w:pPr>
        <w:adjustRightInd w:val="0"/>
        <w:snapToGrid w:val="0"/>
        <w:spacing w:line="360" w:lineRule="auto"/>
        <w:jc w:val="center"/>
        <w:outlineLvl w:val="2"/>
        <w:rPr>
          <w:rFonts w:hint="eastAsia" w:ascii="宋体" w:hAnsi="宋体" w:eastAsia="黑体" w:cs="宋体"/>
          <w:b/>
          <w:bCs/>
          <w:sz w:val="28"/>
          <w:szCs w:val="28"/>
        </w:rPr>
      </w:pPr>
      <w:bookmarkStart w:id="205" w:name="OLE_LINK164"/>
      <w:bookmarkStart w:id="206" w:name="OLE_LINK165"/>
    </w:p>
    <w:p w14:paraId="066FC1C1">
      <w:pPr>
        <w:adjustRightInd w:val="0"/>
        <w:snapToGrid w:val="0"/>
        <w:spacing w:line="360" w:lineRule="auto"/>
        <w:jc w:val="center"/>
        <w:outlineLvl w:val="2"/>
        <w:rPr>
          <w:rFonts w:hint="eastAsia" w:ascii="宋体" w:hAnsi="宋体" w:eastAsia="黑体" w:cs="宋体"/>
          <w:b/>
          <w:bCs/>
          <w:sz w:val="28"/>
          <w:szCs w:val="28"/>
        </w:rPr>
      </w:pPr>
      <w:r>
        <w:rPr>
          <w:rFonts w:hint="eastAsia" w:ascii="宋体" w:hAnsi="宋体" w:eastAsia="黑体" w:cs="宋体"/>
          <w:b/>
          <w:bCs/>
          <w:sz w:val="28"/>
          <w:szCs w:val="28"/>
        </w:rPr>
        <w:t>十</w:t>
      </w:r>
      <w:r>
        <w:rPr>
          <w:rFonts w:hint="eastAsia" w:ascii="宋体" w:hAnsi="宋体" w:eastAsia="黑体" w:cs="宋体"/>
          <w:b/>
          <w:bCs/>
          <w:sz w:val="28"/>
          <w:szCs w:val="28"/>
          <w:lang w:val="en-US" w:eastAsia="zh-CN"/>
        </w:rPr>
        <w:t>三</w:t>
      </w:r>
      <w:r>
        <w:rPr>
          <w:rFonts w:hint="eastAsia" w:ascii="宋体" w:hAnsi="宋体" w:eastAsia="黑体" w:cs="宋体"/>
          <w:b/>
          <w:bCs/>
          <w:sz w:val="28"/>
          <w:szCs w:val="28"/>
        </w:rPr>
        <w:t>、投标货物符合招标文件规定的证明文件</w:t>
      </w:r>
      <w:bookmarkEnd w:id="205"/>
    </w:p>
    <w:p w14:paraId="0868B493">
      <w:pPr>
        <w:spacing w:before="156" w:line="360" w:lineRule="auto"/>
        <w:rPr>
          <w:rFonts w:ascii="Times New Roman" w:hAnsi="Times New Roman" w:eastAsia="宋体" w:cs="Times New Roman"/>
          <w:szCs w:val="21"/>
        </w:rPr>
      </w:pPr>
      <w:r>
        <w:rPr>
          <w:rFonts w:ascii="宋体" w:hAnsi="宋体" w:eastAsia="宋体" w:cs="宋体"/>
          <w:b w:val="0"/>
          <w:bCs w:val="0"/>
          <w:szCs w:val="21"/>
        </w:rPr>
        <w:t>备注：</w:t>
      </w:r>
      <w:r>
        <w:rPr>
          <w:rFonts w:hint="eastAsia" w:ascii="宋体" w:hAnsi="宋体" w:eastAsia="宋体" w:cs="宋体"/>
          <w:b w:val="0"/>
          <w:bCs w:val="0"/>
          <w:szCs w:val="21"/>
        </w:rPr>
        <w:t>1、</w:t>
      </w:r>
      <w:r>
        <w:rPr>
          <w:rFonts w:ascii="宋体" w:hAnsi="宋体" w:eastAsia="宋体" w:cs="宋体"/>
          <w:b w:val="0"/>
          <w:bCs w:val="0"/>
          <w:szCs w:val="21"/>
        </w:rPr>
        <w:t>提供</w:t>
      </w:r>
      <w:r>
        <w:rPr>
          <w:rFonts w:hint="eastAsia" w:ascii="宋体" w:hAnsi="宋体" w:eastAsia="宋体" w:cs="宋体"/>
          <w:b w:val="0"/>
          <w:bCs w:val="0"/>
          <w:szCs w:val="21"/>
        </w:rPr>
        <w:t>招</w:t>
      </w:r>
      <w:r>
        <w:rPr>
          <w:rFonts w:hint="eastAsia" w:ascii="宋体" w:hAnsi="宋体" w:eastAsia="宋体" w:cs="宋体"/>
          <w:szCs w:val="21"/>
        </w:rPr>
        <w:t>标文件</w:t>
      </w:r>
      <w:r>
        <w:rPr>
          <w:rFonts w:ascii="宋体" w:hAnsi="宋体" w:eastAsia="宋体" w:cs="宋体"/>
          <w:szCs w:val="21"/>
        </w:rPr>
        <w:t>“技术规格、参数及要求”规定的证明材料复印件</w:t>
      </w:r>
      <w:r>
        <w:rPr>
          <w:rFonts w:hint="eastAsia" w:ascii="Times New Roman" w:hAnsi="Times New Roman" w:eastAsia="宋体" w:cs="Times New Roman"/>
          <w:szCs w:val="21"/>
        </w:rPr>
        <w:t>；</w:t>
      </w:r>
    </w:p>
    <w:bookmarkEnd w:id="194"/>
    <w:bookmarkEnd w:id="206"/>
    <w:p w14:paraId="62DD027E">
      <w:pPr>
        <w:adjustRightInd w:val="0"/>
        <w:snapToGrid w:val="0"/>
        <w:spacing w:line="360" w:lineRule="auto"/>
        <w:jc w:val="center"/>
        <w:rPr>
          <w:rFonts w:hint="eastAsia" w:ascii="宋体" w:hAnsi="宋体" w:eastAsia="宋体" w:cs="宋体"/>
          <w:b/>
          <w:bCs/>
          <w:sz w:val="32"/>
          <w:szCs w:val="21"/>
        </w:rPr>
      </w:pPr>
    </w:p>
    <w:p w14:paraId="53B579CF">
      <w:pPr>
        <w:adjustRightInd w:val="0"/>
        <w:snapToGrid w:val="0"/>
        <w:spacing w:line="360" w:lineRule="auto"/>
        <w:jc w:val="center"/>
        <w:outlineLvl w:val="2"/>
        <w:rPr>
          <w:rFonts w:hint="eastAsia" w:ascii="宋体" w:hAnsi="宋体" w:eastAsia="黑体" w:cs="宋体"/>
          <w:b/>
          <w:bCs/>
          <w:sz w:val="28"/>
          <w:szCs w:val="28"/>
        </w:rPr>
      </w:pPr>
      <w:bookmarkStart w:id="207" w:name="OLE_LINK166"/>
      <w:r>
        <w:rPr>
          <w:rFonts w:hint="eastAsia" w:ascii="宋体" w:hAnsi="宋体" w:eastAsia="黑体" w:cs="宋体"/>
          <w:b/>
          <w:bCs/>
          <w:sz w:val="28"/>
          <w:szCs w:val="28"/>
        </w:rPr>
        <w:t>十</w:t>
      </w:r>
      <w:r>
        <w:rPr>
          <w:rFonts w:hint="eastAsia" w:ascii="宋体" w:hAnsi="宋体" w:eastAsia="黑体" w:cs="宋体"/>
          <w:b/>
          <w:bCs/>
          <w:sz w:val="28"/>
          <w:szCs w:val="28"/>
          <w:lang w:val="en-US" w:eastAsia="zh-CN"/>
        </w:rPr>
        <w:t>四</w:t>
      </w:r>
      <w:r>
        <w:rPr>
          <w:rFonts w:hint="eastAsia" w:ascii="宋体" w:hAnsi="宋体" w:eastAsia="黑体" w:cs="宋体"/>
          <w:b/>
          <w:bCs/>
          <w:sz w:val="28"/>
          <w:szCs w:val="28"/>
        </w:rPr>
        <w:t>、技术参数响应</w:t>
      </w:r>
    </w:p>
    <w:p w14:paraId="740ED276">
      <w:pPr>
        <w:spacing w:before="156" w:line="360" w:lineRule="auto"/>
        <w:rPr>
          <w:rFonts w:hint="eastAsia" w:ascii="宋体" w:hAnsi="宋体" w:eastAsia="宋体" w:cs="宋体"/>
          <w:szCs w:val="21"/>
        </w:rPr>
      </w:pPr>
      <w:r>
        <w:rPr>
          <w:rFonts w:hint="eastAsia" w:ascii="宋体" w:hAnsi="宋体" w:eastAsia="宋体" w:cs="宋体"/>
          <w:szCs w:val="21"/>
        </w:rPr>
        <w:t>备注：按本招标文件</w:t>
      </w:r>
      <w:r>
        <w:rPr>
          <w:rFonts w:hint="eastAsia" w:ascii="宋体" w:hAnsi="宋体" w:eastAsia="宋体" w:cs="宋体"/>
          <w:szCs w:val="21"/>
          <w:lang w:val="en-US" w:eastAsia="zh-CN"/>
        </w:rPr>
        <w:t>及</w:t>
      </w:r>
      <w:r>
        <w:rPr>
          <w:rFonts w:hint="eastAsia" w:ascii="宋体" w:hAnsi="宋体" w:eastAsia="宋体" w:cs="宋体"/>
          <w:szCs w:val="21"/>
        </w:rPr>
        <w:t>评标办法要求提供相关证明材料。</w:t>
      </w:r>
      <w:bookmarkEnd w:id="207"/>
    </w:p>
    <w:p w14:paraId="77ACF804">
      <w:pPr>
        <w:adjustRightInd w:val="0"/>
        <w:snapToGrid w:val="0"/>
        <w:spacing w:line="360" w:lineRule="auto"/>
        <w:jc w:val="center"/>
        <w:outlineLvl w:val="2"/>
        <w:rPr>
          <w:rFonts w:hint="eastAsia" w:ascii="宋体" w:hAnsi="宋体" w:eastAsia="黑体" w:cs="宋体"/>
          <w:b/>
          <w:bCs/>
          <w:sz w:val="28"/>
          <w:szCs w:val="28"/>
        </w:rPr>
      </w:pPr>
    </w:p>
    <w:p w14:paraId="41B3BB19">
      <w:pPr>
        <w:adjustRightInd w:val="0"/>
        <w:snapToGrid w:val="0"/>
        <w:spacing w:line="360" w:lineRule="auto"/>
        <w:jc w:val="center"/>
        <w:outlineLvl w:val="2"/>
        <w:rPr>
          <w:rFonts w:hint="eastAsia" w:ascii="宋体" w:hAnsi="宋体" w:eastAsia="黑体" w:cs="宋体"/>
          <w:b/>
          <w:bCs/>
          <w:sz w:val="28"/>
          <w:szCs w:val="28"/>
        </w:rPr>
      </w:pPr>
      <w:bookmarkStart w:id="208" w:name="OLE_LINK167"/>
    </w:p>
    <w:p w14:paraId="271D7B7C">
      <w:pPr>
        <w:adjustRightInd w:val="0"/>
        <w:snapToGrid w:val="0"/>
        <w:spacing w:line="360" w:lineRule="auto"/>
        <w:jc w:val="center"/>
        <w:outlineLvl w:val="2"/>
        <w:rPr>
          <w:rFonts w:hint="eastAsia" w:ascii="宋体" w:hAnsi="宋体" w:eastAsia="黑体" w:cs="宋体"/>
          <w:b/>
          <w:bCs/>
          <w:sz w:val="28"/>
          <w:szCs w:val="28"/>
        </w:rPr>
      </w:pPr>
    </w:p>
    <w:p w14:paraId="31170FE0">
      <w:pPr>
        <w:adjustRightInd w:val="0"/>
        <w:snapToGrid w:val="0"/>
        <w:spacing w:line="360" w:lineRule="auto"/>
        <w:jc w:val="center"/>
        <w:outlineLvl w:val="2"/>
        <w:rPr>
          <w:rFonts w:hint="eastAsia" w:ascii="宋体" w:hAnsi="宋体" w:eastAsia="黑体" w:cs="宋体"/>
          <w:b/>
          <w:bCs/>
          <w:sz w:val="28"/>
          <w:szCs w:val="28"/>
        </w:rPr>
      </w:pPr>
      <w:bookmarkStart w:id="209" w:name="OLE_LINK228"/>
      <w:r>
        <w:rPr>
          <w:rFonts w:hint="eastAsia" w:ascii="宋体" w:hAnsi="宋体" w:eastAsia="黑体" w:cs="宋体"/>
          <w:b/>
          <w:bCs/>
          <w:sz w:val="28"/>
          <w:szCs w:val="28"/>
        </w:rPr>
        <w:t>十</w:t>
      </w:r>
      <w:r>
        <w:rPr>
          <w:rFonts w:hint="eastAsia" w:ascii="宋体" w:hAnsi="宋体" w:eastAsia="黑体" w:cs="宋体"/>
          <w:b/>
          <w:bCs/>
          <w:sz w:val="28"/>
          <w:szCs w:val="28"/>
          <w:lang w:val="en-US" w:eastAsia="zh-CN"/>
        </w:rPr>
        <w:t>五</w:t>
      </w:r>
      <w:r>
        <w:rPr>
          <w:rFonts w:hint="eastAsia" w:ascii="宋体" w:hAnsi="宋体" w:eastAsia="黑体" w:cs="宋体"/>
          <w:b/>
          <w:bCs/>
          <w:sz w:val="28"/>
          <w:szCs w:val="28"/>
        </w:rPr>
        <w:t>、项目实施方案</w:t>
      </w:r>
    </w:p>
    <w:p w14:paraId="0CBB69F4">
      <w:pPr>
        <w:rPr>
          <w:rFonts w:hint="eastAsia" w:ascii="宋体" w:hAnsi="宋体" w:eastAsia="宋体" w:cs="宋体"/>
        </w:rPr>
      </w:pPr>
      <w:r>
        <w:rPr>
          <w:rFonts w:hint="eastAsia" w:ascii="宋体" w:hAnsi="宋体" w:eastAsia="宋体" w:cs="宋体"/>
        </w:rPr>
        <w:t>备注：</w:t>
      </w:r>
      <w:r>
        <w:rPr>
          <w:rFonts w:hint="eastAsia" w:ascii="宋体" w:hAnsi="宋体" w:eastAsia="宋体" w:cs="宋体"/>
          <w:lang w:val="en-US" w:eastAsia="zh-CN"/>
        </w:rPr>
        <w:t>根据</w:t>
      </w:r>
      <w:r>
        <w:rPr>
          <w:rFonts w:hint="eastAsia" w:ascii="宋体" w:hAnsi="宋体" w:eastAsia="宋体" w:cs="宋体"/>
        </w:rPr>
        <w:t>本项目招标文件采购需求及评标方法自行编辑。</w:t>
      </w:r>
      <w:bookmarkEnd w:id="208"/>
      <w:bookmarkEnd w:id="209"/>
    </w:p>
    <w:p w14:paraId="00F29D54">
      <w:pPr>
        <w:jc w:val="center"/>
        <w:rPr>
          <w:rFonts w:hint="eastAsia" w:ascii="宋体" w:hAnsi="宋体" w:eastAsia="宋体" w:cs="宋体"/>
        </w:rPr>
      </w:pPr>
    </w:p>
    <w:p w14:paraId="1AAA1693">
      <w:pPr>
        <w:jc w:val="center"/>
        <w:rPr>
          <w:rFonts w:hint="eastAsia" w:ascii="宋体" w:hAnsi="宋体" w:eastAsia="宋体" w:cs="宋体"/>
        </w:rPr>
      </w:pPr>
    </w:p>
    <w:p w14:paraId="4C41DBFE">
      <w:pPr>
        <w:jc w:val="center"/>
        <w:rPr>
          <w:rFonts w:hint="eastAsia" w:ascii="宋体" w:hAnsi="宋体" w:eastAsia="宋体" w:cs="宋体"/>
        </w:rPr>
      </w:pPr>
    </w:p>
    <w:p w14:paraId="02E1C05B">
      <w:pPr>
        <w:jc w:val="center"/>
        <w:rPr>
          <w:rFonts w:hint="eastAsia" w:ascii="宋体" w:hAnsi="宋体" w:eastAsia="黑体" w:cs="宋体"/>
          <w:b/>
          <w:bCs/>
          <w:sz w:val="28"/>
          <w:szCs w:val="28"/>
          <w:lang w:val="en-US" w:eastAsia="zh-CN"/>
        </w:rPr>
      </w:pPr>
      <w:r>
        <w:rPr>
          <w:rFonts w:hint="eastAsia" w:ascii="宋体" w:hAnsi="宋体" w:eastAsia="黑体" w:cs="宋体"/>
          <w:b/>
          <w:bCs/>
          <w:sz w:val="28"/>
          <w:szCs w:val="28"/>
          <w:lang w:val="en-US" w:eastAsia="zh-CN"/>
        </w:rPr>
        <w:t>十六、培训方案</w:t>
      </w:r>
    </w:p>
    <w:p w14:paraId="75332ECD">
      <w:pPr>
        <w:rPr>
          <w:rFonts w:hint="eastAsia" w:ascii="宋体" w:hAnsi="宋体" w:eastAsia="宋体" w:cs="宋体"/>
        </w:rPr>
      </w:pPr>
      <w:r>
        <w:rPr>
          <w:rFonts w:hint="eastAsia" w:ascii="宋体" w:hAnsi="宋体" w:eastAsia="宋体" w:cs="宋体"/>
        </w:rPr>
        <w:t>备注：</w:t>
      </w:r>
      <w:r>
        <w:rPr>
          <w:rFonts w:hint="eastAsia" w:ascii="宋体" w:hAnsi="宋体" w:eastAsia="宋体" w:cs="宋体"/>
          <w:lang w:val="en-US" w:eastAsia="zh-CN"/>
        </w:rPr>
        <w:t>根据</w:t>
      </w:r>
      <w:r>
        <w:rPr>
          <w:rFonts w:hint="eastAsia" w:ascii="宋体" w:hAnsi="宋体" w:eastAsia="宋体" w:cs="宋体"/>
        </w:rPr>
        <w:t>本项目招标文件采购需求及评标方法自行编辑。</w:t>
      </w:r>
    </w:p>
    <w:p w14:paraId="1715152D">
      <w:pPr>
        <w:rPr>
          <w:rFonts w:hint="eastAsia" w:ascii="宋体" w:hAnsi="宋体" w:eastAsia="宋体" w:cs="宋体"/>
        </w:rPr>
      </w:pPr>
    </w:p>
    <w:p w14:paraId="1FF9418D">
      <w:pPr>
        <w:adjustRightInd w:val="0"/>
        <w:snapToGrid w:val="0"/>
        <w:spacing w:before="161" w:beforeLines="50"/>
        <w:rPr>
          <w:rFonts w:hint="eastAsia" w:ascii="宋体" w:hAnsi="宋体" w:eastAsia="宋体" w:cs="宋体"/>
          <w:szCs w:val="21"/>
        </w:rPr>
      </w:pPr>
    </w:p>
    <w:p w14:paraId="3854931E">
      <w:pPr>
        <w:adjustRightInd w:val="0"/>
        <w:snapToGrid w:val="0"/>
        <w:spacing w:before="161" w:beforeLines="50"/>
        <w:ind w:firstLine="630" w:firstLineChars="300"/>
        <w:rPr>
          <w:rFonts w:hint="eastAsia" w:ascii="宋体" w:hAnsi="宋体" w:eastAsia="宋体" w:cs="宋体"/>
          <w:szCs w:val="21"/>
        </w:rPr>
      </w:pPr>
    </w:p>
    <w:p w14:paraId="1F9CB806">
      <w:pPr>
        <w:adjustRightInd w:val="0"/>
        <w:snapToGrid w:val="0"/>
        <w:spacing w:before="161" w:beforeLines="50"/>
        <w:ind w:firstLine="630" w:firstLineChars="300"/>
        <w:rPr>
          <w:rFonts w:hint="eastAsia" w:ascii="宋体" w:hAnsi="宋体" w:eastAsia="宋体" w:cs="宋体"/>
          <w:szCs w:val="21"/>
        </w:rPr>
      </w:pPr>
    </w:p>
    <w:p w14:paraId="5A4C74A7">
      <w:pPr>
        <w:rPr>
          <w:rFonts w:hint="eastAsia" w:ascii="宋体" w:hAnsi="宋体" w:eastAsia="宋体" w:cs="宋体"/>
          <w:b/>
          <w:bCs/>
          <w:sz w:val="32"/>
          <w:szCs w:val="21"/>
        </w:rPr>
      </w:pPr>
    </w:p>
    <w:p w14:paraId="523995AC"/>
    <w:sectPr>
      <w:footerReference r:id="rId9" w:type="default"/>
      <w:pgSz w:w="11905" w:h="16838"/>
      <w:pgMar w:top="1440" w:right="1587" w:bottom="1440" w:left="1587" w:header="850" w:footer="850" w:gutter="0"/>
      <w:cols w:space="0" w:num="1"/>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华文宋体">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CIDFont+F1">
    <w:altName w:val="宋体"/>
    <w:panose1 w:val="00000000000000000000"/>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064CB">
    <w:pPr>
      <w:widowControl w:val="0"/>
      <w:tabs>
        <w:tab w:val="center" w:pos="4153"/>
        <w:tab w:val="right" w:pos="8306"/>
      </w:tabs>
      <w:snapToGrid w:val="0"/>
      <w:ind w:left="180" w:right="359" w:rightChars="171" w:hanging="180" w:hangingChars="100"/>
      <w:jc w:val="left"/>
      <w:rPr>
        <w:rFonts w:ascii="Times New Roman" w:hAnsi="Times New Roman" w:eastAsia="楷体_GB2312"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41186">
    <w:pPr>
      <w:snapToGrid w:val="0"/>
      <w:ind w:right="359" w:rightChars="171"/>
      <w:jc w:val="left"/>
      <w:rPr>
        <w:rFonts w:ascii="Times New Roman" w:hAnsi="Times New Roman" w:eastAsia="楷体_GB2312" w:cs="Times New Roman"/>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5E805">
    <w:pPr>
      <w:widowControl w:val="0"/>
      <w:tabs>
        <w:tab w:val="center" w:pos="4153"/>
        <w:tab w:val="right" w:pos="8306"/>
      </w:tabs>
      <w:snapToGrid w:val="0"/>
      <w:ind w:left="180" w:right="359" w:rightChars="171" w:hanging="180" w:hangingChars="100"/>
      <w:jc w:val="left"/>
      <w:rPr>
        <w:rFonts w:ascii="Times New Roman" w:hAnsi="Times New Roman" w:eastAsia="楷体_GB2312" w:cs="Times New Roman"/>
        <w:kern w:val="2"/>
        <w:sz w:val="18"/>
        <w:szCs w:val="18"/>
        <w:lang w:val="en-US"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FB501">
    <w:pPr>
      <w:widowControl w:val="0"/>
      <w:pBdr>
        <w:bottom w:val="none" w:color="auto" w:sz="0" w:space="0"/>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9A715">
    <w:pPr>
      <w:widowControl w:val="0"/>
      <w:pBdr>
        <w:bottom w:val="none" w:color="auto" w:sz="0" w:space="0"/>
      </w:pBdr>
      <w:tabs>
        <w:tab w:val="center" w:pos="4153"/>
        <w:tab w:val="right" w:pos="8306"/>
      </w:tabs>
      <w:snapToGrid w:val="0"/>
      <w:jc w:val="both"/>
      <w:rPr>
        <w:rFonts w:ascii="Times New Roman" w:hAnsi="Times New Roman" w:eastAsia="宋体" w:cs="Times New Roman"/>
        <w:kern w:val="2"/>
        <w:sz w:val="18"/>
        <w:szCs w:val="18"/>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AA80D">
    <w:pPr>
      <w:widowControl w:val="0"/>
      <w:pBdr>
        <w:bottom w:val="single" w:color="auto" w:sz="6" w:space="1"/>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2B05E">
    <w:pPr>
      <w:widowControl w:val="0"/>
      <w:pBdr>
        <w:bottom w:val="single" w:color="auto" w:sz="6" w:space="1"/>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BC2381"/>
    <w:multiLevelType w:val="singleLevel"/>
    <w:tmpl w:val="AFBC2381"/>
    <w:lvl w:ilvl="0" w:tentative="0">
      <w:start w:val="1"/>
      <w:numFmt w:val="decimal"/>
      <w:suff w:val="space"/>
      <w:lvlText w:val="%1."/>
      <w:lvlJc w:val="left"/>
    </w:lvl>
  </w:abstractNum>
  <w:abstractNum w:abstractNumId="1">
    <w:nsid w:val="43028597"/>
    <w:multiLevelType w:val="singleLevel"/>
    <w:tmpl w:val="43028597"/>
    <w:lvl w:ilvl="0" w:tentative="0">
      <w:start w:val="3"/>
      <w:numFmt w:val="decimal"/>
      <w:suff w:val="nothing"/>
      <w:lvlText w:val="%1、"/>
      <w:lvlJc w:val="left"/>
    </w:lvl>
  </w:abstractNum>
  <w:abstractNum w:abstractNumId="2">
    <w:nsid w:val="5BCB995D"/>
    <w:multiLevelType w:val="singleLevel"/>
    <w:tmpl w:val="5BCB995D"/>
    <w:lvl w:ilvl="0" w:tentative="0">
      <w:start w:val="1"/>
      <w:numFmt w:val="decimal"/>
      <w:suff w:val="nothing"/>
      <w:lvlText w:val="（%1）"/>
      <w:lvlJc w:val="left"/>
    </w:lvl>
  </w:abstractNum>
  <w:abstractNum w:abstractNumId="3">
    <w:nsid w:val="5E85AC66"/>
    <w:multiLevelType w:val="singleLevel"/>
    <w:tmpl w:val="5E85AC66"/>
    <w:lvl w:ilvl="0" w:tentative="0">
      <w:start w:val="2"/>
      <w:numFmt w:val="chineseCounting"/>
      <w:suff w:val="nothing"/>
      <w:lvlText w:val="（%1）"/>
      <w:lvlJc w:val="left"/>
      <w:rPr>
        <w:rFonts w:hint="eastAsi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9521E"/>
    <w:rsid w:val="01112A82"/>
    <w:rsid w:val="017E757F"/>
    <w:rsid w:val="0230135D"/>
    <w:rsid w:val="031F252E"/>
    <w:rsid w:val="03772BBD"/>
    <w:rsid w:val="044C1C9B"/>
    <w:rsid w:val="04945913"/>
    <w:rsid w:val="0569336D"/>
    <w:rsid w:val="06C9422E"/>
    <w:rsid w:val="07E14CFA"/>
    <w:rsid w:val="08C565F2"/>
    <w:rsid w:val="091A6C9B"/>
    <w:rsid w:val="0A241A31"/>
    <w:rsid w:val="0A4D175D"/>
    <w:rsid w:val="0B2A12DF"/>
    <w:rsid w:val="0B7A2363"/>
    <w:rsid w:val="0BAF5585"/>
    <w:rsid w:val="0BE72997"/>
    <w:rsid w:val="0C314090"/>
    <w:rsid w:val="0CAE6EDD"/>
    <w:rsid w:val="0D4B0060"/>
    <w:rsid w:val="0D876BC0"/>
    <w:rsid w:val="0DB3678A"/>
    <w:rsid w:val="0F4C2EA3"/>
    <w:rsid w:val="0FA7460E"/>
    <w:rsid w:val="105B1B61"/>
    <w:rsid w:val="10A27D57"/>
    <w:rsid w:val="128E407F"/>
    <w:rsid w:val="12B87441"/>
    <w:rsid w:val="12D3786F"/>
    <w:rsid w:val="13511BBE"/>
    <w:rsid w:val="13692294"/>
    <w:rsid w:val="13806E8A"/>
    <w:rsid w:val="13C3447C"/>
    <w:rsid w:val="142E02A8"/>
    <w:rsid w:val="14A35840"/>
    <w:rsid w:val="16775464"/>
    <w:rsid w:val="16E16597"/>
    <w:rsid w:val="16EF4EE4"/>
    <w:rsid w:val="17745B06"/>
    <w:rsid w:val="17B865FB"/>
    <w:rsid w:val="187C6339"/>
    <w:rsid w:val="18846FC8"/>
    <w:rsid w:val="18B65219"/>
    <w:rsid w:val="192F6D69"/>
    <w:rsid w:val="1A460E27"/>
    <w:rsid w:val="1A6D6D72"/>
    <w:rsid w:val="1B550FE4"/>
    <w:rsid w:val="1C022402"/>
    <w:rsid w:val="1CB4642B"/>
    <w:rsid w:val="1CD0259C"/>
    <w:rsid w:val="1D3927C4"/>
    <w:rsid w:val="1EED2DCA"/>
    <w:rsid w:val="1F79042F"/>
    <w:rsid w:val="20411092"/>
    <w:rsid w:val="20A63420"/>
    <w:rsid w:val="20AA1E26"/>
    <w:rsid w:val="22461847"/>
    <w:rsid w:val="23C5553B"/>
    <w:rsid w:val="245711E5"/>
    <w:rsid w:val="24E84399"/>
    <w:rsid w:val="24EA789C"/>
    <w:rsid w:val="259F3EF0"/>
    <w:rsid w:val="27066912"/>
    <w:rsid w:val="27807D96"/>
    <w:rsid w:val="280B61C0"/>
    <w:rsid w:val="2842411B"/>
    <w:rsid w:val="285D0AB8"/>
    <w:rsid w:val="2A2049DE"/>
    <w:rsid w:val="2B04391F"/>
    <w:rsid w:val="2BBF4052"/>
    <w:rsid w:val="2C27277D"/>
    <w:rsid w:val="2D22320F"/>
    <w:rsid w:val="2D763723"/>
    <w:rsid w:val="2E5E3717"/>
    <w:rsid w:val="2EBD19D6"/>
    <w:rsid w:val="2F46399F"/>
    <w:rsid w:val="2F9D65AC"/>
    <w:rsid w:val="2FD9510C"/>
    <w:rsid w:val="2FE62223"/>
    <w:rsid w:val="31C74937"/>
    <w:rsid w:val="323B6E74"/>
    <w:rsid w:val="32506E1A"/>
    <w:rsid w:val="32660FBD"/>
    <w:rsid w:val="328E0E7D"/>
    <w:rsid w:val="340E0074"/>
    <w:rsid w:val="34945D4F"/>
    <w:rsid w:val="34D83195"/>
    <w:rsid w:val="359A307E"/>
    <w:rsid w:val="35FE2DA3"/>
    <w:rsid w:val="3637097E"/>
    <w:rsid w:val="367407E3"/>
    <w:rsid w:val="368B3C8B"/>
    <w:rsid w:val="375B525D"/>
    <w:rsid w:val="376D09FB"/>
    <w:rsid w:val="38233FA0"/>
    <w:rsid w:val="3A0A70C5"/>
    <w:rsid w:val="3A617AD4"/>
    <w:rsid w:val="3A8A671A"/>
    <w:rsid w:val="3BCD2229"/>
    <w:rsid w:val="3CE1162D"/>
    <w:rsid w:val="3D677DCC"/>
    <w:rsid w:val="3F65400E"/>
    <w:rsid w:val="3F675313"/>
    <w:rsid w:val="3FA702E8"/>
    <w:rsid w:val="416318D6"/>
    <w:rsid w:val="418D4C98"/>
    <w:rsid w:val="41B55959"/>
    <w:rsid w:val="42916AC5"/>
    <w:rsid w:val="432824BB"/>
    <w:rsid w:val="435A070C"/>
    <w:rsid w:val="45C828D6"/>
    <w:rsid w:val="45C862F3"/>
    <w:rsid w:val="45C9178A"/>
    <w:rsid w:val="46F224F1"/>
    <w:rsid w:val="47060224"/>
    <w:rsid w:val="48205161"/>
    <w:rsid w:val="4ADC40E1"/>
    <w:rsid w:val="4B423A85"/>
    <w:rsid w:val="4BEE199F"/>
    <w:rsid w:val="4D8352B9"/>
    <w:rsid w:val="4F832800"/>
    <w:rsid w:val="50B25444"/>
    <w:rsid w:val="51311242"/>
    <w:rsid w:val="51E771E4"/>
    <w:rsid w:val="52445A58"/>
    <w:rsid w:val="528271A9"/>
    <w:rsid w:val="52D43E71"/>
    <w:rsid w:val="531910E2"/>
    <w:rsid w:val="548E130D"/>
    <w:rsid w:val="551E0533"/>
    <w:rsid w:val="55EC7C86"/>
    <w:rsid w:val="57F55ADD"/>
    <w:rsid w:val="5874602B"/>
    <w:rsid w:val="59116EBF"/>
    <w:rsid w:val="59F355A3"/>
    <w:rsid w:val="5A7F4896"/>
    <w:rsid w:val="5BAF7A77"/>
    <w:rsid w:val="5BFE68FD"/>
    <w:rsid w:val="5CDE0169"/>
    <w:rsid w:val="5F9167D9"/>
    <w:rsid w:val="5FA10C71"/>
    <w:rsid w:val="61EA56B3"/>
    <w:rsid w:val="63A34684"/>
    <w:rsid w:val="650959E3"/>
    <w:rsid w:val="65254B81"/>
    <w:rsid w:val="66AD1184"/>
    <w:rsid w:val="66B87515"/>
    <w:rsid w:val="66D60CC4"/>
    <w:rsid w:val="67371FE2"/>
    <w:rsid w:val="67F97B21"/>
    <w:rsid w:val="6874746B"/>
    <w:rsid w:val="68D84F91"/>
    <w:rsid w:val="69F43947"/>
    <w:rsid w:val="6A9C00F5"/>
    <w:rsid w:val="6B770D5D"/>
    <w:rsid w:val="6BE82315"/>
    <w:rsid w:val="6D3B3EC1"/>
    <w:rsid w:val="6E4C2E04"/>
    <w:rsid w:val="6F394F51"/>
    <w:rsid w:val="6FDE635F"/>
    <w:rsid w:val="70501969"/>
    <w:rsid w:val="70C50F0F"/>
    <w:rsid w:val="74A878F0"/>
    <w:rsid w:val="74CE55B2"/>
    <w:rsid w:val="76AA3BBE"/>
    <w:rsid w:val="78BD7DA6"/>
    <w:rsid w:val="790E68AB"/>
    <w:rsid w:val="792D0059"/>
    <w:rsid w:val="793420B5"/>
    <w:rsid w:val="79964206"/>
    <w:rsid w:val="79C27653"/>
    <w:rsid w:val="7C7F4F4E"/>
    <w:rsid w:val="7E446E38"/>
    <w:rsid w:val="7F8C7D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Normal_10"/>
    <w:qFormat/>
    <w:uiPriority w:val="0"/>
    <w:pPr>
      <w:widowControl w:val="0"/>
      <w:jc w:val="both"/>
    </w:pPr>
    <w:rPr>
      <w:rFonts w:ascii="Calibri" w:hAnsi="Calibri" w:eastAsia="宋体" w:cs="Times New Roman"/>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oleObject" Target="embeddings/oleObject2.bin"/><Relationship Id="rId13" Type="http://schemas.openxmlformats.org/officeDocument/2006/relationships/image" Target="media/image2.wmf"/><Relationship Id="rId12" Type="http://schemas.openxmlformats.org/officeDocument/2006/relationships/oleObject" Target="embeddings/oleObject1.bin"/><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145</Pages>
  <Words>17211</Words>
  <Characters>18387</Characters>
  <Lines>0</Lines>
  <Paragraphs>0</Paragraphs>
  <TotalTime>34</TotalTime>
  <ScaleCrop>false</ScaleCrop>
  <LinksUpToDate>false</LinksUpToDate>
  <CharactersWithSpaces>18759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2026-08-24T03:20:00Z</dcterms:created>
  <dc:creator>Administrator</dc:creator>
  <cp:lastModifiedBy>Administrator</cp:lastModifiedBy>
  <dcterms:modified xsi:type="dcterms:W3CDTF">2026-08-24T05:57:52Z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eyJoZGlkIjoiMDdmODk0NDJiYzA5ZGUzZDVhNGU5OGE0NWY0NGQ3ZjEiLCJ1c2VySWQiOiIyMDMxNjA5NjcifQ==</vt:lpwstr>
  </property>
  <property fmtid="{D5CDD505-2E9C-101B-9397-08002B2CF9AE}" pid="4" name="ICV">
    <vt:lpwstr>A2C6FC25369B4974B1DF6EFCA426B406_12</vt:lpwstr>
  </property>
</Properties>
</file>